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Общество российско – китайской дружбы,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Институт Китая и современной Азии РАН,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Государственный университет управления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«40 лет китайской Конституции: от общего к частному».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начале декабря 2022 г. в Китае широко отмечается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40-летие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действующей Конституции, принятой 4 декабря 1982 г. на 5-й сессии Всекитайского собрания народных представителей пятого созыва. Ее значение для китайской государственности трудно переоценить. С течением времени в Конституцию КНР вносился целый ряд поправок, наиболее крупные из которых датируются 2018 г. Основной закон страны лежит в основе принимаемых в стране нормативных правовых актов и представляет собой акт высшей юридической силы, состоящий из 4 глав, 143 статей. 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В чем состоит сущность китайской Конституции? Какова ее роль в происходящих в Китае процессах? Какие особенности Конституции КНР необходимо знать, чтобы понимать политическую систему современного Китая и вектор его государственно-правового и социально-экономического развития?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 xml:space="preserve">Ответы на эти и другие вопросы будут содержаться в докладе ведущего научного сотрудника Института Китая и современной Азии, исследователя традиционного и современного права Китая, автора и преподавателя спецкурса «Право Китая и китайский язык в праве», к.ю.н. Павла Владимировича Трощинского. Лектор расскажет об эволюции китайской Конституции и ответит на вопросы аудитории по конституционной проблематике.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Модератор: Тимофеев Олег Анатольевич, к.и.н., доцент,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Российский университет дружбы народов, 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Государственный университет управления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093665" cy="270596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3665" cy="2705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0425" cy="586994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9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0425" cy="372237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2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810000" cy="63500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35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372100" cy="15113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0425" cy="294767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