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EABF6" w14:textId="77777777" w:rsidR="00E60342" w:rsidRDefault="00692649">
      <w:pPr>
        <w:ind w:hanging="8"/>
        <w:rPr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6150D96" wp14:editId="40B6F61B">
            <wp:extent cx="6119495" cy="1291606"/>
            <wp:effectExtent l="0" t="0" r="0" b="0"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9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7F347" w14:textId="77777777" w:rsidR="00E60342" w:rsidRDefault="00692649">
      <w:pPr>
        <w:pStyle w:val="aff3"/>
        <w:ind w:right="0"/>
        <w:rPr>
          <w:rFonts w:ascii="Times New Roman" w:hAnsi="Times New Roman"/>
          <w:b w:val="0"/>
          <w:sz w:val="22"/>
          <w:szCs w:val="24"/>
        </w:rPr>
      </w:pPr>
      <w:r>
        <w:rPr>
          <w:rFonts w:ascii="Times New Roman" w:hAnsi="Times New Roman"/>
          <w:b w:val="0"/>
          <w:noProof/>
          <w:sz w:val="22"/>
          <w:szCs w:val="24"/>
        </w:rPr>
        <w:drawing>
          <wp:anchor distT="0" distB="0" distL="114300" distR="114300" simplePos="0" relativeHeight="251653120" behindDoc="1" locked="0" layoutInCell="1" allowOverlap="1" wp14:anchorId="460C2FA4" wp14:editId="5C8C8B81">
            <wp:simplePos x="0" y="0"/>
            <wp:positionH relativeFrom="column">
              <wp:posOffset>-20320</wp:posOffset>
            </wp:positionH>
            <wp:positionV relativeFrom="paragraph">
              <wp:posOffset>102235</wp:posOffset>
            </wp:positionV>
            <wp:extent cx="878205" cy="878205"/>
            <wp:effectExtent l="0" t="0" r="0" b="0"/>
            <wp:wrapTight wrapText="bothSides">
              <wp:wrapPolygon edited="0">
                <wp:start x="4186" y="-812"/>
                <wp:lineTo x="297" y="3873"/>
                <wp:lineTo x="-828" y="8559"/>
                <wp:lineTo x="-828" y="13244"/>
                <wp:lineTo x="297" y="17930"/>
                <wp:lineTo x="5092" y="22615"/>
                <wp:lineTo x="15977" y="22615"/>
                <wp:lineTo x="20772" y="17930"/>
                <wp:lineTo x="21881" y="13244"/>
                <wp:lineTo x="21881" y="8559"/>
                <wp:lineTo x="20772" y="3873"/>
                <wp:lineTo x="16883" y="-812"/>
                <wp:lineTo x="4186" y="-812"/>
              </wp:wrapPolygon>
            </wp:wrapTight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8205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 w:val="0"/>
          <w:sz w:val="22"/>
          <w:szCs w:val="24"/>
        </w:rPr>
        <w:t>Федеральное государственное бюджетное образовательное</w:t>
      </w:r>
    </w:p>
    <w:p w14:paraId="4ECCCEBF" w14:textId="77777777" w:rsidR="00E60342" w:rsidRDefault="00692649">
      <w:pPr>
        <w:pStyle w:val="aff3"/>
        <w:ind w:right="0"/>
        <w:rPr>
          <w:rFonts w:ascii="Times New Roman" w:hAnsi="Times New Roman"/>
          <w:b w:val="0"/>
          <w:sz w:val="22"/>
          <w:szCs w:val="24"/>
        </w:rPr>
      </w:pPr>
      <w:r>
        <w:rPr>
          <w:rFonts w:ascii="Times New Roman" w:hAnsi="Times New Roman"/>
          <w:b w:val="0"/>
          <w:sz w:val="22"/>
          <w:szCs w:val="24"/>
        </w:rPr>
        <w:t>учреждение высшего образования</w:t>
      </w:r>
    </w:p>
    <w:p w14:paraId="22245B11" w14:textId="77777777" w:rsidR="00E60342" w:rsidRDefault="00692649">
      <w:pPr>
        <w:pStyle w:val="aff3"/>
        <w:ind w:right="0"/>
        <w:rPr>
          <w:rFonts w:ascii="Times New Roman" w:hAnsi="Times New Roman"/>
          <w:b w:val="0"/>
          <w:sz w:val="22"/>
          <w:szCs w:val="24"/>
        </w:rPr>
      </w:pPr>
      <w:r>
        <w:rPr>
          <w:rFonts w:ascii="Times New Roman" w:hAnsi="Times New Roman"/>
          <w:b w:val="0"/>
          <w:sz w:val="22"/>
          <w:szCs w:val="24"/>
        </w:rPr>
        <w:t xml:space="preserve">«Донецкий национальный университет экономики и торговли имени Михаила Туган-Барановского» </w:t>
      </w:r>
      <w:r>
        <w:rPr>
          <w:rFonts w:ascii="Times New Roman" w:hAnsi="Times New Roman"/>
          <w:b w:val="0"/>
          <w:sz w:val="24"/>
          <w:szCs w:val="24"/>
        </w:rPr>
        <w:t>(ФГБОУ ВО «ДОННУЭТ», г. Донецк, ДНР)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7C6614E" w14:textId="77777777" w:rsidR="00E60342" w:rsidRDefault="00E60342">
      <w:pPr>
        <w:pStyle w:val="aff3"/>
        <w:ind w:right="0"/>
        <w:jc w:val="both"/>
        <w:rPr>
          <w:rFonts w:ascii="Times New Roman" w:hAnsi="Times New Roman"/>
          <w:b w:val="0"/>
          <w:sz w:val="24"/>
          <w:szCs w:val="24"/>
        </w:rPr>
      </w:pPr>
    </w:p>
    <w:p w14:paraId="408FEE23" w14:textId="77777777" w:rsidR="00E60342" w:rsidRDefault="00E60342">
      <w:pPr>
        <w:pStyle w:val="aff3"/>
        <w:ind w:right="0"/>
        <w:jc w:val="both"/>
        <w:rPr>
          <w:rFonts w:ascii="Times New Roman" w:hAnsi="Times New Roman"/>
          <w:b w:val="0"/>
          <w:sz w:val="22"/>
          <w:szCs w:val="24"/>
        </w:rPr>
      </w:pPr>
    </w:p>
    <w:p w14:paraId="6CAF97C5" w14:textId="77777777" w:rsidR="00E60342" w:rsidRDefault="00E60342">
      <w:pPr>
        <w:spacing w:after="0" w:line="240" w:lineRule="auto"/>
        <w:rPr>
          <w:rFonts w:ascii="LiberationSerif" w:eastAsia="Times New Roman" w:hAnsi="LiberationSerif" w:cs="LiberationSerif"/>
          <w:sz w:val="26"/>
          <w:szCs w:val="28"/>
          <w:lang w:eastAsia="ru-RU"/>
        </w:rPr>
      </w:pPr>
    </w:p>
    <w:p w14:paraId="275E3F5A" w14:textId="77777777" w:rsidR="00E60342" w:rsidRDefault="00692649">
      <w:pPr>
        <w:spacing w:after="0" w:line="240" w:lineRule="auto"/>
        <w:rPr>
          <w:rFonts w:ascii="LiberationSerif" w:eastAsia="Times New Roman" w:hAnsi="LiberationSerif" w:cs="LiberationSerif"/>
          <w:sz w:val="26"/>
          <w:szCs w:val="28"/>
          <w:lang w:eastAsia="ru-RU"/>
        </w:rPr>
      </w:pPr>
      <w:r>
        <w:rPr>
          <w:rFonts w:ascii="LiberationSerif" w:eastAsia="Times New Roman" w:hAnsi="LiberationSerif" w:cs="LiberationSerif"/>
          <w:sz w:val="26"/>
          <w:szCs w:val="28"/>
          <w:lang w:eastAsia="ru-RU"/>
        </w:rPr>
        <w:t>_____.09.2026 №________</w:t>
      </w:r>
    </w:p>
    <w:p w14:paraId="65B130FE" w14:textId="77777777" w:rsidR="00E60342" w:rsidRDefault="00E60342">
      <w:pPr>
        <w:spacing w:after="0" w:line="240" w:lineRule="auto"/>
        <w:rPr>
          <w:rFonts w:ascii="LiberationSerif" w:eastAsia="Times New Roman" w:hAnsi="LiberationSerif" w:cs="LiberationSerif"/>
          <w:sz w:val="26"/>
          <w:szCs w:val="28"/>
          <w:lang w:eastAsia="ru-RU"/>
        </w:rPr>
      </w:pPr>
    </w:p>
    <w:p w14:paraId="59B15D2F" w14:textId="77777777" w:rsidR="00E60342" w:rsidRDefault="00692649">
      <w:pPr>
        <w:pStyle w:val="aff3"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LiberationSerif" w:hAnsi="LiberationSerif" w:cs="LiberationSerif"/>
          <w:sz w:val="26"/>
          <w:szCs w:val="28"/>
        </w:rPr>
        <w:t>Образовательным</w:t>
      </w:r>
      <w:r>
        <w:rPr>
          <w:rFonts w:ascii="LiberationSerif" w:hAnsi="LiberationSerif" w:cs="LiberationSerif"/>
          <w:sz w:val="28"/>
          <w:szCs w:val="28"/>
        </w:rPr>
        <w:t xml:space="preserve"> </w:t>
      </w:r>
      <w:r>
        <w:rPr>
          <w:rFonts w:ascii="LiberationSerif" w:hAnsi="LiberationSerif" w:cs="LiberationSerif"/>
          <w:sz w:val="26"/>
          <w:szCs w:val="28"/>
        </w:rPr>
        <w:t>учреждениям</w:t>
      </w:r>
    </w:p>
    <w:p w14:paraId="0450B6E9" w14:textId="77777777" w:rsidR="00E60342" w:rsidRDefault="00E60342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785AC2A" w14:textId="77777777" w:rsidR="00E60342" w:rsidRDefault="00692649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ИНФОРМАЦИОННОЕ ПИСЬМО</w:t>
      </w:r>
    </w:p>
    <w:p w14:paraId="4E2A7E7B" w14:textId="77777777" w:rsidR="00E60342" w:rsidRDefault="00692649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sz w:val="24"/>
          <w:szCs w:val="24"/>
        </w:rPr>
        <w:t xml:space="preserve"> Всероссийская студенческая научно-практическая конференция «ВНЕШНЕЭКОНОМИЧЕСКАЯ ДЕЯТЕЛЬНОСТЬ: ТАМОЖЕННЫЙ АСПЕКТ», </w:t>
      </w:r>
      <w:r>
        <w:rPr>
          <w:rFonts w:ascii="Times New Roman" w:hAnsi="Times New Roman"/>
          <w:bCs/>
          <w:sz w:val="24"/>
          <w:szCs w:val="24"/>
        </w:rPr>
        <w:t xml:space="preserve">посвященная Дню таможенника России, </w:t>
      </w:r>
      <w:r>
        <w:rPr>
          <w:rFonts w:ascii="Times New Roman" w:hAnsi="Times New Roman"/>
          <w:sz w:val="24"/>
          <w:szCs w:val="24"/>
        </w:rPr>
        <w:t>(совместно с кафедрами факультета МЭиП и кафедрой таможенного дело и экспертизы товаров ФГБОУ ВО «ДОННУЭТ», г. Донецк, ДНР)</w:t>
      </w:r>
    </w:p>
    <w:p w14:paraId="4F430980" w14:textId="77777777" w:rsidR="00E60342" w:rsidRDefault="00692649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Уважаемые коллеги!</w:t>
      </w:r>
    </w:p>
    <w:p w14:paraId="59D06504" w14:textId="77777777" w:rsidR="00E60342" w:rsidRDefault="00E60342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C02B69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Кафедры «Внешнеэкономическая деятельность и межкультурные коммуникации», «Английский язык», «Гражданское и уголо</w:t>
      </w:r>
      <w:r>
        <w:rPr>
          <w:rFonts w:ascii="Times New Roman" w:hAnsi="Times New Roman"/>
          <w:sz w:val="24"/>
          <w:szCs w:val="24"/>
        </w:rPr>
        <w:t>вное право”, «Финансы и кредит» Факультета «Мировая экономика и право»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ФГБОУ ВО «</w:t>
      </w:r>
      <w:r>
        <w:rPr>
          <w:rFonts w:ascii="Times New Roman" w:hAnsi="Times New Roman"/>
          <w:bCs/>
          <w:sz w:val="24"/>
          <w:szCs w:val="24"/>
        </w:rPr>
        <w:t xml:space="preserve">Сибирский государственный университет путей сообщения» (СГУПС) и </w:t>
      </w:r>
      <w:r>
        <w:rPr>
          <w:rFonts w:ascii="Times New Roman" w:hAnsi="Times New Roman"/>
          <w:sz w:val="24"/>
          <w:szCs w:val="24"/>
        </w:rPr>
        <w:t xml:space="preserve">кафедра таможенного дело и экспертизы товаров, (ФГБОУ ВО «ДОННУЭТ», г. Донецк, ДНР) </w:t>
      </w:r>
      <w:r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риглашают принять участие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Cs/>
          <w:sz w:val="24"/>
          <w:szCs w:val="24"/>
        </w:rPr>
        <w:t>-ой Всероссийской студенческой научно-практической конференции с международным участием «Внешнеэкономическая деятельность: таможенный аспект».</w:t>
      </w:r>
    </w:p>
    <w:p w14:paraId="294E36A2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участию приглашаются студенты и слушатели всех уровней образования высших учебных заведений и заинтересо</w:t>
      </w:r>
      <w:r>
        <w:rPr>
          <w:rFonts w:ascii="Times New Roman" w:hAnsi="Times New Roman"/>
          <w:sz w:val="24"/>
          <w:szCs w:val="24"/>
        </w:rPr>
        <w:t xml:space="preserve">ванные лица. </w:t>
      </w:r>
    </w:p>
    <w:p w14:paraId="6F6B4C53" w14:textId="69C29875" w:rsidR="00E60342" w:rsidRDefault="00692649" w:rsidP="00AC76E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Даты и время проведения конференции</w:t>
      </w:r>
      <w:r>
        <w:rPr>
          <w:rFonts w:ascii="Times New Roman" w:hAnsi="Times New Roman"/>
          <w:sz w:val="24"/>
          <w:szCs w:val="24"/>
        </w:rPr>
        <w:t xml:space="preserve">: </w:t>
      </w:r>
      <w:r w:rsidR="00A75EA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октября 2026 г.</w:t>
      </w:r>
      <w:r w:rsidR="00E164E4">
        <w:rPr>
          <w:rFonts w:ascii="Times New Roman" w:hAnsi="Times New Roman"/>
          <w:sz w:val="24"/>
          <w:szCs w:val="24"/>
        </w:rPr>
        <w:t>, 12.00</w:t>
      </w:r>
      <w:r w:rsidR="00A8760F">
        <w:rPr>
          <w:rFonts w:ascii="Times New Roman" w:hAnsi="Times New Roman"/>
          <w:sz w:val="24"/>
          <w:szCs w:val="24"/>
        </w:rPr>
        <w:t>.</w:t>
      </w:r>
      <w:r w:rsidR="00AC76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(время </w:t>
      </w:r>
      <w:r w:rsidR="00A66F6F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овосибирское).</w:t>
      </w:r>
    </w:p>
    <w:p w14:paraId="025C08FD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 конференции</w:t>
      </w:r>
      <w:r>
        <w:rPr>
          <w:rFonts w:ascii="Times New Roman" w:hAnsi="Times New Roman"/>
          <w:sz w:val="24"/>
          <w:szCs w:val="24"/>
        </w:rPr>
        <w:t>: ФГБОУ ВО «</w:t>
      </w:r>
      <w:r>
        <w:rPr>
          <w:rFonts w:ascii="Times New Roman" w:hAnsi="Times New Roman"/>
          <w:bCs/>
          <w:sz w:val="24"/>
          <w:szCs w:val="24"/>
        </w:rPr>
        <w:t>Сибирский государственный университет путей сообщения» (СГУПС), факул</w:t>
      </w:r>
      <w:r>
        <w:rPr>
          <w:rFonts w:ascii="Times New Roman" w:hAnsi="Times New Roman"/>
          <w:bCs/>
          <w:sz w:val="24"/>
          <w:szCs w:val="24"/>
        </w:rPr>
        <w:t>ьтет «Мировая экономика и право»: ул. Дуси Ковальчук, д.191, г. Новосибирск, Россия.</w:t>
      </w:r>
    </w:p>
    <w:p w14:paraId="02CC1A3F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5.</w:t>
      </w:r>
      <w:r>
        <w:rPr>
          <w:rFonts w:ascii="Times New Roman" w:hAnsi="Times New Roman"/>
          <w:sz w:val="24"/>
          <w:szCs w:val="24"/>
        </w:rPr>
        <w:t xml:space="preserve"> Современные тенденции развития российского законодательства (каф. ГиУП).</w:t>
      </w:r>
    </w:p>
    <w:p w14:paraId="02168887" w14:textId="77777777" w:rsidR="00E60342" w:rsidRDefault="00E6034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80649B" w14:textId="35381A80" w:rsidR="00E60342" w:rsidRDefault="0069264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конференции будет выпущен электронный сборник научных ст</w:t>
      </w:r>
      <w:r>
        <w:rPr>
          <w:rFonts w:ascii="Times New Roman" w:hAnsi="Times New Roman"/>
          <w:sz w:val="24"/>
          <w:szCs w:val="24"/>
        </w:rPr>
        <w:t xml:space="preserve">атей, индексируемых в РИНЦ. </w:t>
      </w:r>
    </w:p>
    <w:p w14:paraId="445D7B17" w14:textId="5147EBFC" w:rsidR="00065A3E" w:rsidRDefault="00065A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F34F917" w14:textId="3E44B954" w:rsidR="00065A3E" w:rsidRDefault="00065A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D869A6A" w14:textId="5FDEB89C" w:rsidR="00065A3E" w:rsidRDefault="00065A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E5D2C48" w14:textId="77777777" w:rsidR="00065A3E" w:rsidRDefault="00065A3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9A065AE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Форма проведения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96986BF" w14:textId="6F4560D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i/>
          <w:sz w:val="24"/>
          <w:szCs w:val="24"/>
        </w:rPr>
        <w:t>Очная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Дистанционная - </w:t>
      </w:r>
      <w:r>
        <w:rPr>
          <w:rFonts w:ascii="Times New Roman" w:hAnsi="Times New Roman"/>
          <w:sz w:val="24"/>
          <w:szCs w:val="24"/>
        </w:rPr>
        <w:t>заседание секци</w:t>
      </w:r>
      <w:r w:rsidR="0059165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проводится</w:t>
      </w:r>
      <w:r>
        <w:rPr>
          <w:rFonts w:ascii="Times New Roman" w:hAnsi="Times New Roman"/>
        </w:rPr>
        <w:t xml:space="preserve"> </w:t>
      </w:r>
      <w:r w:rsidR="0059165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октября 2026 г. для очного участия в аудиториях, определенных кафедрами, дистанционно -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 платформе онлайн конференций (ссылка для участия в конфе</w:t>
      </w:r>
      <w:r>
        <w:rPr>
          <w:rFonts w:ascii="Times New Roman" w:hAnsi="Times New Roman"/>
          <w:sz w:val="24"/>
          <w:szCs w:val="24"/>
          <w:shd w:val="clear" w:color="auto" w:fill="FFFFFF"/>
        </w:rPr>
        <w:t>ренции будет отправлена участникам по адресу, указанному в заявке на участие).</w:t>
      </w:r>
    </w:p>
    <w:p w14:paraId="2063329E" w14:textId="77777777" w:rsidR="00E60342" w:rsidRDefault="00692649">
      <w:pPr>
        <w:spacing w:after="0" w:line="259" w:lineRule="auto"/>
        <w:ind w:firstLine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b/>
          <w:i/>
          <w:sz w:val="24"/>
        </w:rPr>
        <w:t>Заочная –</w:t>
      </w:r>
      <w:r>
        <w:rPr>
          <w:rFonts w:ascii="Times New Roman" w:hAnsi="Times New Roman"/>
          <w:sz w:val="24"/>
        </w:rPr>
        <w:t xml:space="preserve"> без доклада, только предоставление статей для публикации в сборник материалов конференции.</w:t>
      </w:r>
    </w:p>
    <w:p w14:paraId="18999A16" w14:textId="727CAD1A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Язык конференции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русский</w:t>
      </w:r>
      <w:r>
        <w:rPr>
          <w:rFonts w:ascii="Times New Roman" w:hAnsi="Times New Roman"/>
          <w:sz w:val="24"/>
          <w:szCs w:val="24"/>
        </w:rPr>
        <w:t>. Продолжительность выступления 5</w:t>
      </w:r>
      <w:r w:rsidR="008E2AB2">
        <w:rPr>
          <w:rFonts w:ascii="Times New Roman" w:hAnsi="Times New Roman"/>
          <w:sz w:val="24"/>
          <w:szCs w:val="24"/>
        </w:rPr>
        <w:t xml:space="preserve"> мину</w:t>
      </w:r>
      <w:r w:rsidR="00003E3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с компьютерной презентацией до 10 слайдов.</w:t>
      </w:r>
    </w:p>
    <w:p w14:paraId="15272AEA" w14:textId="77777777" w:rsidR="00FE5B50" w:rsidRDefault="00FE5B50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14:paraId="5710FDD1" w14:textId="5B2AD480" w:rsidR="008B7F10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Участие в конференции: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7B90ACB" w14:textId="1AA60284" w:rsidR="00E60342" w:rsidRDefault="00692649">
      <w:pPr>
        <w:spacing w:after="0" w:line="240" w:lineRule="auto"/>
        <w:ind w:firstLine="284"/>
        <w:jc w:val="both"/>
        <w:rPr>
          <w:rStyle w:val="aff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</w:rPr>
        <w:t xml:space="preserve">Для </w:t>
      </w:r>
      <w:r w:rsidR="008B7F10">
        <w:rPr>
          <w:rFonts w:ascii="Times New Roman" w:hAnsi="Times New Roman"/>
          <w:sz w:val="24"/>
          <w:szCs w:val="24"/>
        </w:rPr>
        <w:t>выступления на конференции</w:t>
      </w:r>
      <w:r>
        <w:rPr>
          <w:rFonts w:ascii="Times New Roman" w:hAnsi="Times New Roman"/>
          <w:sz w:val="24"/>
          <w:szCs w:val="24"/>
        </w:rPr>
        <w:t xml:space="preserve"> до </w:t>
      </w:r>
      <w:r w:rsidR="009240FD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октября 2026 г. необходимо пред</w:t>
      </w:r>
      <w:r>
        <w:rPr>
          <w:rFonts w:ascii="Times New Roman" w:hAnsi="Times New Roman"/>
          <w:sz w:val="24"/>
          <w:szCs w:val="24"/>
        </w:rPr>
        <w:t xml:space="preserve">ставить в оргкомитет </w:t>
      </w:r>
      <w:r w:rsidR="009240FD">
        <w:rPr>
          <w:rFonts w:ascii="Times New Roman" w:hAnsi="Times New Roman"/>
          <w:sz w:val="24"/>
          <w:szCs w:val="24"/>
        </w:rPr>
        <w:t xml:space="preserve">заявку на участие через </w:t>
      </w:r>
      <w:hyperlink r:id="rId8" w:history="1">
        <w:r w:rsidR="009240FD" w:rsidRPr="008F733A">
          <w:rPr>
            <w:rStyle w:val="aff"/>
            <w:rFonts w:ascii="Times New Roman" w:hAnsi="Times New Roman"/>
            <w:sz w:val="24"/>
            <w:szCs w:val="24"/>
          </w:rPr>
          <w:t>https://leader-id.ru/events/618434</w:t>
        </w:r>
      </w:hyperlink>
      <w:r w:rsidR="009240FD">
        <w:rPr>
          <w:rFonts w:ascii="Times New Roman" w:hAnsi="Times New Roman"/>
          <w:sz w:val="24"/>
          <w:szCs w:val="24"/>
        </w:rPr>
        <w:t xml:space="preserve"> </w:t>
      </w:r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:</w:t>
      </w:r>
    </w:p>
    <w:p w14:paraId="1FAC494B" w14:textId="3B6A9612" w:rsidR="009240FD" w:rsidRPr="009240FD" w:rsidRDefault="009240FD">
      <w:pPr>
        <w:spacing w:after="0" w:line="240" w:lineRule="auto"/>
        <w:ind w:firstLine="284"/>
        <w:jc w:val="both"/>
        <w:rPr>
          <w:rStyle w:val="aff"/>
          <w:rFonts w:ascii="Times New Roman" w:hAnsi="Times New Roman"/>
          <w:sz w:val="24"/>
          <w:szCs w:val="24"/>
        </w:rPr>
      </w:pPr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Для публикации</w:t>
      </w:r>
      <w:r w:rsidR="008B7F10">
        <w:rPr>
          <w:rStyle w:val="aff"/>
          <w:rFonts w:ascii="Times New Roman" w:hAnsi="Times New Roman"/>
          <w:color w:val="auto"/>
          <w:sz w:val="24"/>
          <w:szCs w:val="24"/>
          <w:u w:val="none"/>
        </w:rPr>
        <w:t xml:space="preserve"> до 20 октября 2026г.</w:t>
      </w:r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 xml:space="preserve"> необходимо представить на </w:t>
      </w:r>
      <w:proofErr w:type="spellStart"/>
      <w:proofErr w:type="gramStart"/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эл.почту</w:t>
      </w:r>
      <w:proofErr w:type="spellEnd"/>
      <w:proofErr w:type="gramEnd"/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aff"/>
          <w:rFonts w:ascii="Times New Roman" w:hAnsi="Times New Roman"/>
          <w:color w:val="auto"/>
          <w:sz w:val="24"/>
          <w:szCs w:val="24"/>
          <w:u w:val="none"/>
          <w:lang w:val="en-US"/>
        </w:rPr>
        <w:t>kovalevaia</w:t>
      </w:r>
      <w:proofErr w:type="spellEnd"/>
      <w:r w:rsidRPr="009240FD"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@</w:t>
      </w:r>
      <w:r>
        <w:rPr>
          <w:rStyle w:val="aff"/>
          <w:rFonts w:ascii="Times New Roman" w:hAnsi="Times New Roman"/>
          <w:color w:val="auto"/>
          <w:sz w:val="24"/>
          <w:szCs w:val="24"/>
          <w:u w:val="none"/>
          <w:lang w:val="en-US"/>
        </w:rPr>
        <w:t>list</w:t>
      </w:r>
      <w:r w:rsidRPr="009240FD"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.</w:t>
      </w:r>
      <w:proofErr w:type="spellStart"/>
      <w:r>
        <w:rPr>
          <w:rStyle w:val="aff"/>
          <w:rFonts w:ascii="Times New Roman" w:hAnsi="Times New Roman"/>
          <w:color w:val="auto"/>
          <w:sz w:val="24"/>
          <w:szCs w:val="24"/>
          <w:u w:val="none"/>
          <w:lang w:val="en-US"/>
        </w:rPr>
        <w:t>ru</w:t>
      </w:r>
      <w:proofErr w:type="spellEnd"/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:</w:t>
      </w:r>
    </w:p>
    <w:p w14:paraId="70DFEE8D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Style w:val="aff"/>
          <w:rFonts w:ascii="Times New Roman" w:hAnsi="Times New Roman"/>
          <w:color w:val="auto"/>
          <w:sz w:val="24"/>
          <w:szCs w:val="24"/>
          <w:u w:val="none"/>
        </w:rPr>
        <w:t>-</w:t>
      </w:r>
      <w:r>
        <w:rPr>
          <w:rFonts w:ascii="Times New Roman" w:hAnsi="Times New Roman"/>
          <w:sz w:val="24"/>
          <w:szCs w:val="24"/>
        </w:rPr>
        <w:t xml:space="preserve"> заявку на участие (Например: Петров </w:t>
      </w:r>
      <w:proofErr w:type="gramStart"/>
      <w:r>
        <w:rPr>
          <w:rFonts w:ascii="Times New Roman" w:hAnsi="Times New Roman"/>
          <w:sz w:val="24"/>
          <w:szCs w:val="24"/>
        </w:rPr>
        <w:t>П.П..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Заявка). Приложение 1 – Форма заявки; </w:t>
      </w:r>
    </w:p>
    <w:p w14:paraId="59CF8B23" w14:textId="6780F8B3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текст статьи (Например: Петров П.П.- Название статьи). Приложение 2</w:t>
      </w:r>
      <w:r w:rsidR="00E37CAD">
        <w:rPr>
          <w:rFonts w:ascii="Times New Roman" w:hAnsi="Times New Roman"/>
          <w:sz w:val="24"/>
          <w:szCs w:val="24"/>
        </w:rPr>
        <w:t>,3</w:t>
      </w:r>
      <w:r>
        <w:rPr>
          <w:rFonts w:ascii="Times New Roman" w:hAnsi="Times New Roman"/>
          <w:sz w:val="24"/>
          <w:szCs w:val="24"/>
        </w:rPr>
        <w:t xml:space="preserve"> - Требование к оформлению статьи</w:t>
      </w:r>
      <w:r w:rsidR="00E37CAD">
        <w:rPr>
          <w:rFonts w:ascii="Times New Roman" w:hAnsi="Times New Roman"/>
          <w:sz w:val="24"/>
          <w:szCs w:val="24"/>
        </w:rPr>
        <w:t xml:space="preserve"> и её шаблон;</w:t>
      </w:r>
    </w:p>
    <w:p w14:paraId="27BB44FA" w14:textId="7FFD5BF1" w:rsidR="00040B64" w:rsidRDefault="00040B6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ВНЕШНИХ УЧАСТНИКОВ (НЕ СГУПС): справку из «</w:t>
      </w:r>
      <w:proofErr w:type="spellStart"/>
      <w:r>
        <w:rPr>
          <w:rFonts w:ascii="Times New Roman" w:hAnsi="Times New Roman"/>
          <w:sz w:val="24"/>
          <w:szCs w:val="24"/>
        </w:rPr>
        <w:t>Антиплагиат.ВУЗ</w:t>
      </w:r>
      <w:proofErr w:type="spellEnd"/>
      <w:r>
        <w:rPr>
          <w:rFonts w:ascii="Times New Roman" w:hAnsi="Times New Roman"/>
          <w:sz w:val="24"/>
          <w:szCs w:val="24"/>
        </w:rPr>
        <w:t>» и Заключение о возможности опубликования</w:t>
      </w:r>
      <w:r w:rsidR="006056D8">
        <w:rPr>
          <w:rFonts w:ascii="Times New Roman" w:hAnsi="Times New Roman"/>
          <w:sz w:val="24"/>
          <w:szCs w:val="24"/>
        </w:rPr>
        <w:t xml:space="preserve"> (см. Приложение </w:t>
      </w:r>
      <w:r w:rsidR="00183B41">
        <w:rPr>
          <w:rFonts w:ascii="Times New Roman" w:hAnsi="Times New Roman"/>
          <w:sz w:val="24"/>
          <w:szCs w:val="24"/>
        </w:rPr>
        <w:t>4</w:t>
      </w:r>
      <w:r w:rsidR="006056D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14EB455" w14:textId="77777777" w:rsidR="0081306E" w:rsidRDefault="0081306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A19978F" w14:textId="77777777" w:rsidR="00E60342" w:rsidRDefault="00692649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</w:t>
      </w:r>
      <w:r>
        <w:rPr>
          <w:rFonts w:ascii="Times New Roman" w:hAnsi="Times New Roman"/>
          <w:b/>
          <w:sz w:val="24"/>
          <w:szCs w:val="24"/>
        </w:rPr>
        <w:t xml:space="preserve"> контакты</w:t>
      </w:r>
    </w:p>
    <w:p w14:paraId="12D7F443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Адрес оргкомитета</w:t>
      </w:r>
      <w:r>
        <w:rPr>
          <w:rFonts w:ascii="Times New Roman" w:hAnsi="Times New Roman"/>
          <w:bCs/>
          <w:sz w:val="24"/>
          <w:szCs w:val="24"/>
        </w:rPr>
        <w:t>: 630049, г. Новосибирск, ул. Дуси Ковальчук, д.191, Сибирский государственный университет путей сообщения (СГУПС), кафедра «ВЭД и межкультурные коммуникации».</w:t>
      </w:r>
    </w:p>
    <w:p w14:paraId="01C2615F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конференции: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91E2160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декан факультета «Мировая экономика и прав</w:t>
      </w:r>
      <w:r>
        <w:rPr>
          <w:rFonts w:ascii="Times New Roman" w:hAnsi="Times New Roman"/>
          <w:sz w:val="24"/>
          <w:szCs w:val="24"/>
        </w:rPr>
        <w:t>о», канд. тех. наук, доц. Корнеев М.В.</w:t>
      </w:r>
      <w:r>
        <w:rPr>
          <w:rFonts w:ascii="Times New Roman" w:hAnsi="Times New Roman"/>
          <w:bCs/>
          <w:sz w:val="24"/>
          <w:szCs w:val="24"/>
        </w:rPr>
        <w:t xml:space="preserve">  тел. </w:t>
      </w:r>
      <w:r>
        <w:rPr>
          <w:rFonts w:ascii="Times New Roman" w:hAnsi="Times New Roman"/>
          <w:sz w:val="24"/>
          <w:szCs w:val="24"/>
        </w:rPr>
        <w:t>+7 (383) 305-70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+7 (383) 03-79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3F32BA2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Секретарь конференции</w:t>
      </w:r>
    </w:p>
    <w:p w14:paraId="12DDA279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доцент кафедры «ВЭД</w:t>
      </w:r>
      <w:r>
        <w:rPr>
          <w:rFonts w:ascii="Times New Roman" w:hAnsi="Times New Roman"/>
          <w:sz w:val="24"/>
          <w:szCs w:val="24"/>
        </w:rPr>
        <w:t xml:space="preserve"> и межкультурные коммуникации</w:t>
      </w:r>
      <w:r>
        <w:rPr>
          <w:rFonts w:ascii="Times New Roman" w:hAnsi="Times New Roman"/>
          <w:bCs/>
          <w:sz w:val="24"/>
          <w:szCs w:val="24"/>
        </w:rPr>
        <w:t xml:space="preserve">», канд. ист. наук, доцент. </w:t>
      </w:r>
      <w:r>
        <w:rPr>
          <w:rFonts w:ascii="Times New Roman" w:hAnsi="Times New Roman"/>
          <w:sz w:val="24"/>
          <w:szCs w:val="24"/>
        </w:rPr>
        <w:t xml:space="preserve"> канд. ист. наук, доц. </w:t>
      </w:r>
      <w:r>
        <w:rPr>
          <w:rFonts w:ascii="Times New Roman" w:hAnsi="Times New Roman"/>
          <w:sz w:val="24"/>
          <w:szCs w:val="24"/>
        </w:rPr>
        <w:t xml:space="preserve">Калмыков Сергей Павлович, тел. +7-913-718-3675;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A75EA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A75EA8"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oberst</w:t>
      </w:r>
      <w:proofErr w:type="spellEnd"/>
      <w:r w:rsidRPr="00A75EA8">
        <w:rPr>
          <w:rFonts w:ascii="Times New Roman" w:hAnsi="Times New Roman"/>
          <w:sz w:val="24"/>
          <w:szCs w:val="24"/>
        </w:rPr>
        <w:t>2006@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A75EA8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14:paraId="5BAEAD69" w14:textId="77777777" w:rsidR="00E60342" w:rsidRDefault="00E60342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14:paraId="573F6A7D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секций:</w:t>
      </w:r>
    </w:p>
    <w:p w14:paraId="4CD86009" w14:textId="01C8B0E9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23E9058C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Секция 5 </w:t>
      </w:r>
      <w:r>
        <w:rPr>
          <w:rFonts w:ascii="Times New Roman" w:hAnsi="Times New Roman"/>
          <w:sz w:val="24"/>
          <w:szCs w:val="24"/>
        </w:rPr>
        <w:t xml:space="preserve">Современные тенденции развития российского законодательства. </w:t>
      </w:r>
    </w:p>
    <w:p w14:paraId="3D86A241" w14:textId="2D2DDBC9" w:rsidR="00E60342" w:rsidRDefault="009662E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20.10.2026г. с 12.00 в аудитории СГУПС</w:t>
      </w:r>
      <w:r w:rsidR="00F345F3">
        <w:rPr>
          <w:rFonts w:ascii="Times New Roman" w:hAnsi="Times New Roman"/>
          <w:sz w:val="24"/>
          <w:szCs w:val="24"/>
        </w:rPr>
        <w:t>.</w:t>
      </w:r>
    </w:p>
    <w:p w14:paraId="710B5BA5" w14:textId="51BBADCA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Горожанкина М.А. – </w:t>
      </w:r>
      <w:r w:rsidR="009662EA">
        <w:rPr>
          <w:rFonts w:ascii="Times New Roman" w:hAnsi="Times New Roman"/>
          <w:sz w:val="24"/>
          <w:szCs w:val="24"/>
        </w:rPr>
        <w:t>доцент</w:t>
      </w:r>
      <w:r>
        <w:rPr>
          <w:rFonts w:ascii="Times New Roman" w:hAnsi="Times New Roman"/>
          <w:sz w:val="24"/>
          <w:szCs w:val="24"/>
        </w:rPr>
        <w:t xml:space="preserve"> кафедр</w:t>
      </w:r>
      <w:r w:rsidR="009662E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«Гражданское и уголовное право», канд. </w:t>
      </w:r>
      <w:r w:rsidR="009662EA">
        <w:rPr>
          <w:rFonts w:ascii="Times New Roman" w:hAnsi="Times New Roman"/>
          <w:sz w:val="24"/>
          <w:szCs w:val="24"/>
        </w:rPr>
        <w:t>юр</w:t>
      </w:r>
      <w:r>
        <w:rPr>
          <w:rFonts w:ascii="Times New Roman" w:hAnsi="Times New Roman"/>
          <w:sz w:val="24"/>
          <w:szCs w:val="24"/>
        </w:rPr>
        <w:t>. наук, до</w:t>
      </w:r>
      <w:r>
        <w:rPr>
          <w:rFonts w:ascii="Times New Roman" w:hAnsi="Times New Roman"/>
          <w:sz w:val="24"/>
          <w:szCs w:val="24"/>
        </w:rPr>
        <w:t>ц.</w:t>
      </w:r>
    </w:p>
    <w:p w14:paraId="5BC7C672" w14:textId="7C3F2DBB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</w:t>
      </w:r>
      <w:r>
        <w:rPr>
          <w:rFonts w:ascii="Times New Roman" w:hAnsi="Times New Roman"/>
          <w:sz w:val="24"/>
          <w:szCs w:val="24"/>
        </w:rPr>
        <w:t xml:space="preserve">Ковалева И.А. – ст. преподаватель </w:t>
      </w:r>
      <w:r>
        <w:rPr>
          <w:rFonts w:ascii="Times New Roman" w:hAnsi="Times New Roman"/>
          <w:bCs/>
          <w:sz w:val="24"/>
          <w:szCs w:val="24"/>
        </w:rPr>
        <w:t>кафедры «Гражданское и уголовное право</w:t>
      </w:r>
      <w:proofErr w:type="gramStart"/>
      <w:r>
        <w:rPr>
          <w:rFonts w:ascii="Times New Roman" w:hAnsi="Times New Roman"/>
          <w:bCs/>
          <w:sz w:val="24"/>
          <w:szCs w:val="24"/>
        </w:rPr>
        <w:t>»</w:t>
      </w:r>
      <w:r w:rsidR="00A93CE7">
        <w:rPr>
          <w:rFonts w:ascii="Times New Roman" w:hAnsi="Times New Roman"/>
          <w:bCs/>
          <w:sz w:val="24"/>
          <w:szCs w:val="24"/>
        </w:rPr>
        <w:t>,+</w:t>
      </w:r>
      <w:proofErr w:type="gramEnd"/>
      <w:r w:rsidR="00A93CE7">
        <w:rPr>
          <w:rFonts w:ascii="Times New Roman" w:hAnsi="Times New Roman"/>
          <w:bCs/>
          <w:sz w:val="24"/>
          <w:szCs w:val="24"/>
        </w:rPr>
        <w:t>79139355777</w:t>
      </w:r>
    </w:p>
    <w:p w14:paraId="4617DAAC" w14:textId="77777777" w:rsidR="00E60342" w:rsidRDefault="00E60342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14:paraId="7B431648" w14:textId="77777777" w:rsidR="00E60342" w:rsidRDefault="00E6034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35546FC5" w14:textId="77777777" w:rsidR="00E60342" w:rsidRDefault="00E60342">
      <w:pPr>
        <w:spacing w:after="0" w:line="240" w:lineRule="auto"/>
        <w:ind w:firstLine="284"/>
        <w:rPr>
          <w:rFonts w:ascii="Times New Roman" w:eastAsia="Times New Roman" w:hAnsi="Times New Roman"/>
          <w:sz w:val="24"/>
          <w:szCs w:val="24"/>
        </w:rPr>
      </w:pPr>
    </w:p>
    <w:p w14:paraId="0350B495" w14:textId="77777777" w:rsidR="00E60342" w:rsidRDefault="00E60342">
      <w:pPr>
        <w:spacing w:after="0" w:line="360" w:lineRule="auto"/>
        <w:jc w:val="right"/>
        <w:rPr>
          <w:rFonts w:ascii="Times New Roman" w:hAnsi="Times New Roman"/>
          <w:sz w:val="20"/>
          <w:szCs w:val="28"/>
        </w:rPr>
      </w:pPr>
    </w:p>
    <w:p w14:paraId="2579675D" w14:textId="77777777" w:rsidR="00E60342" w:rsidRDefault="00692649">
      <w:pPr>
        <w:spacing w:after="0" w:line="360" w:lineRule="auto"/>
        <w:jc w:val="right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36"/>
          <w:szCs w:val="28"/>
        </w:rPr>
        <w:br w:type="page"/>
      </w:r>
    </w:p>
    <w:p w14:paraId="3D7F2484" w14:textId="77777777" w:rsidR="00E60342" w:rsidRDefault="00692649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14:paraId="51A8AB9A" w14:textId="77777777" w:rsidR="00E60342" w:rsidRDefault="0069264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заявки на участие в конференции</w:t>
      </w:r>
    </w:p>
    <w:p w14:paraId="4ECC1001" w14:textId="77777777" w:rsidR="00E60342" w:rsidRDefault="00692649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Cs/>
          <w:sz w:val="24"/>
          <w:szCs w:val="24"/>
        </w:rPr>
        <w:t xml:space="preserve">-ой Всероссийской студенческой научно-практической конференции с международным участием «Внешнеэкономическая деятельность: таможенный </w:t>
      </w:r>
      <w:r>
        <w:rPr>
          <w:rFonts w:ascii="Times New Roman" w:hAnsi="Times New Roman"/>
          <w:bCs/>
          <w:sz w:val="24"/>
          <w:szCs w:val="24"/>
        </w:rPr>
        <w:t xml:space="preserve">аспект». </w:t>
      </w:r>
    </w:p>
    <w:p w14:paraId="058EE722" w14:textId="1251EFF8" w:rsidR="00E60342" w:rsidRDefault="00692649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Новосибирск, </w:t>
      </w:r>
      <w:r w:rsidR="00ED000F">
        <w:rPr>
          <w:rFonts w:ascii="Times New Roman" w:hAnsi="Times New Roman"/>
          <w:bCs/>
          <w:sz w:val="24"/>
          <w:szCs w:val="24"/>
        </w:rPr>
        <w:t>20</w:t>
      </w:r>
      <w:r>
        <w:rPr>
          <w:rFonts w:ascii="Times New Roman" w:hAnsi="Times New Roman"/>
          <w:bCs/>
          <w:sz w:val="24"/>
          <w:szCs w:val="24"/>
        </w:rPr>
        <w:t>.10.2026.</w:t>
      </w:r>
    </w:p>
    <w:p w14:paraId="5645C4FD" w14:textId="6C6FBDD4" w:rsidR="00E60342" w:rsidRDefault="00E60342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Style w:val="afd"/>
        <w:tblW w:w="5000" w:type="pct"/>
        <w:tblLook w:val="04A0" w:firstRow="1" w:lastRow="0" w:firstColumn="1" w:lastColumn="0" w:noHBand="0" w:noVBand="1"/>
      </w:tblPr>
      <w:tblGrid>
        <w:gridCol w:w="4813"/>
        <w:gridCol w:w="4814"/>
      </w:tblGrid>
      <w:tr w:rsidR="00E60342" w14:paraId="0C72A411" w14:textId="77777777">
        <w:tc>
          <w:tcPr>
            <w:tcW w:w="2500" w:type="pct"/>
          </w:tcPr>
          <w:p w14:paraId="4DA2FC3F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 автора /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если есть, данные соавтора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2500" w:type="pct"/>
          </w:tcPr>
          <w:p w14:paraId="00B3CAAB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095D3C4B" w14:textId="77777777">
        <w:tc>
          <w:tcPr>
            <w:tcW w:w="2500" w:type="pct"/>
          </w:tcPr>
          <w:p w14:paraId="250CDE85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Страна, гражданство*, город:</w:t>
            </w:r>
          </w:p>
        </w:tc>
        <w:tc>
          <w:tcPr>
            <w:tcW w:w="2500" w:type="pct"/>
          </w:tcPr>
          <w:p w14:paraId="79C15816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3FF38838" w14:textId="77777777">
        <w:trPr>
          <w:trHeight w:val="283"/>
        </w:trPr>
        <w:tc>
          <w:tcPr>
            <w:tcW w:w="2500" w:type="pct"/>
          </w:tcPr>
          <w:p w14:paraId="58DEC184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места учебы</w:t>
            </w:r>
          </w:p>
          <w:p w14:paraId="74B2CE99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Например: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4"/>
              </w:rPr>
              <w:t>Сибирский государственный ун</w:t>
            </w:r>
            <w:r>
              <w:rPr>
                <w:rFonts w:ascii="Times New Roman" w:hAnsi="Times New Roman"/>
                <w:sz w:val="20"/>
                <w:szCs w:val="24"/>
              </w:rPr>
              <w:t>иверситет путей сообщения (СГУПС, г. Новосибирск)</w:t>
            </w:r>
          </w:p>
          <w:p w14:paraId="0AACC822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 и аббревиатурой):</w:t>
            </w:r>
          </w:p>
        </w:tc>
        <w:tc>
          <w:tcPr>
            <w:tcW w:w="2500" w:type="pct"/>
          </w:tcPr>
          <w:p w14:paraId="21868045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2452027C" w14:textId="77777777">
        <w:tc>
          <w:tcPr>
            <w:tcW w:w="2500" w:type="pct"/>
          </w:tcPr>
          <w:p w14:paraId="7CBDAC2C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Должность, факультет, курс: </w:t>
            </w:r>
          </w:p>
          <w:p w14:paraId="13832067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Например: Студент 3 курс / магистрант 1 года обучения / аспирант факультет МЭиП</w:t>
            </w:r>
          </w:p>
        </w:tc>
        <w:tc>
          <w:tcPr>
            <w:tcW w:w="2500" w:type="pct"/>
          </w:tcPr>
          <w:p w14:paraId="287ED22E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3F872DEE" w14:textId="77777777">
        <w:tc>
          <w:tcPr>
            <w:tcW w:w="2500" w:type="pct"/>
          </w:tcPr>
          <w:p w14:paraId="7936055E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 (полностью):</w:t>
            </w:r>
          </w:p>
        </w:tc>
        <w:tc>
          <w:tcPr>
            <w:tcW w:w="2500" w:type="pct"/>
          </w:tcPr>
          <w:p w14:paraId="2878DB70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3A78A181" w14:textId="77777777">
        <w:tc>
          <w:tcPr>
            <w:tcW w:w="2500" w:type="pct"/>
          </w:tcPr>
          <w:p w14:paraId="3FF9DFEC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  <w:r>
              <w:rPr>
                <w:rFonts w:ascii="Times New Roman" w:hAnsi="Times New Roman"/>
                <w:sz w:val="24"/>
                <w:szCs w:val="24"/>
              </w:rPr>
              <w:t>руководителя и название кафедры</w:t>
            </w:r>
          </w:p>
        </w:tc>
        <w:tc>
          <w:tcPr>
            <w:tcW w:w="2500" w:type="pct"/>
          </w:tcPr>
          <w:p w14:paraId="7010401E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73838703" w14:textId="77777777">
        <w:tc>
          <w:tcPr>
            <w:tcW w:w="2500" w:type="pct"/>
          </w:tcPr>
          <w:p w14:paraId="40D8AD33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 и ученое звание руководителя: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если у него есть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00" w:type="pct"/>
          </w:tcPr>
          <w:p w14:paraId="5379677A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0FCE831C" w14:textId="77777777">
        <w:tc>
          <w:tcPr>
            <w:tcW w:w="2500" w:type="pct"/>
          </w:tcPr>
          <w:p w14:paraId="17DF7A2D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секции: </w:t>
            </w:r>
          </w:p>
          <w:p w14:paraId="5612A086" w14:textId="03D7AC47" w:rsidR="00E60342" w:rsidRDefault="00692649" w:rsidP="0087529C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Секция 5.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Современные тенденции развития российского законодательства (каф.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ГиУП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>).</w:t>
            </w:r>
          </w:p>
        </w:tc>
        <w:tc>
          <w:tcPr>
            <w:tcW w:w="2500" w:type="pct"/>
          </w:tcPr>
          <w:p w14:paraId="23A51976" w14:textId="0FD389C2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Секция 5.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Современные тенденции развития российского законодательства (каф.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ГиУП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>).</w:t>
            </w:r>
            <w:bookmarkStart w:id="0" w:name="_GoBack"/>
            <w:bookmarkEnd w:id="0"/>
          </w:p>
        </w:tc>
      </w:tr>
      <w:tr w:rsidR="00E60342" w14:paraId="018C45FB" w14:textId="77777777">
        <w:tc>
          <w:tcPr>
            <w:tcW w:w="2500" w:type="pct"/>
          </w:tcPr>
          <w:p w14:paraId="00888857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доклада (на русском языке): </w:t>
            </w:r>
          </w:p>
          <w:p w14:paraId="10E329CE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Для</w:t>
            </w:r>
            <w:r>
              <w:rPr>
                <w:rFonts w:ascii="Times New Roman" w:hAnsi="Times New Roman"/>
                <w:i/>
                <w:szCs w:val="24"/>
              </w:rPr>
              <w:t xml:space="preserve"> секции 4 на иностранном /русском языках</w:t>
            </w:r>
          </w:p>
        </w:tc>
        <w:tc>
          <w:tcPr>
            <w:tcW w:w="2500" w:type="pct"/>
          </w:tcPr>
          <w:p w14:paraId="75C78027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1AB6842A" w14:textId="77777777">
        <w:tc>
          <w:tcPr>
            <w:tcW w:w="2500" w:type="pct"/>
          </w:tcPr>
          <w:p w14:paraId="7D6555F8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участия (очная, дистанционная, заочная):</w:t>
            </w:r>
          </w:p>
        </w:tc>
        <w:tc>
          <w:tcPr>
            <w:tcW w:w="2500" w:type="pct"/>
          </w:tcPr>
          <w:p w14:paraId="339FF63E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0F64F449" w14:textId="77777777">
        <w:tc>
          <w:tcPr>
            <w:tcW w:w="2500" w:type="pct"/>
          </w:tcPr>
          <w:p w14:paraId="66F8F85A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E-mail участника: </w:t>
            </w:r>
          </w:p>
        </w:tc>
        <w:tc>
          <w:tcPr>
            <w:tcW w:w="2500" w:type="pct"/>
          </w:tcPr>
          <w:p w14:paraId="785C7E44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342" w14:paraId="71D45708" w14:textId="77777777">
        <w:tc>
          <w:tcPr>
            <w:tcW w:w="2500" w:type="pct"/>
          </w:tcPr>
          <w:p w14:paraId="2EFC587B" w14:textId="77777777" w:rsidR="00E60342" w:rsidRDefault="00692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2500" w:type="pct"/>
          </w:tcPr>
          <w:p w14:paraId="21DB36DC" w14:textId="77777777" w:rsidR="00E60342" w:rsidRDefault="00E603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1BC830" w14:textId="77777777" w:rsidR="00E60342" w:rsidRDefault="006926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Для иностранных граждан – отдельным списком указать сведения об иностранных студентах, участвующих очно в конференции.</w:t>
      </w:r>
    </w:p>
    <w:p w14:paraId="16DBC410" w14:textId="2A818118" w:rsidR="00E60342" w:rsidRDefault="00692649">
      <w:pPr>
        <w:spacing w:after="0" w:line="360" w:lineRule="auto"/>
        <w:rPr>
          <w:rFonts w:ascii="Times New Roman" w:hAnsi="Times New Roman"/>
          <w:sz w:val="36"/>
          <w:szCs w:val="28"/>
        </w:rPr>
      </w:pPr>
      <w:r>
        <w:rPr>
          <w:rFonts w:ascii="Times New Roman" w:hAnsi="Times New Roman"/>
          <w:sz w:val="36"/>
          <w:szCs w:val="28"/>
        </w:rPr>
        <w:br w:type="page"/>
      </w:r>
    </w:p>
    <w:p w14:paraId="07FD5F93" w14:textId="77777777" w:rsidR="00E60342" w:rsidRDefault="00692649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2</w:t>
      </w:r>
    </w:p>
    <w:p w14:paraId="1E484200" w14:textId="77777777" w:rsidR="00E60342" w:rsidRDefault="0069264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ТРЕБОВАНИЯ К ОФОРМЛЕНИЮ СТАТЬИ</w:t>
      </w:r>
    </w:p>
    <w:p w14:paraId="5518CB4C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 xml:space="preserve">Предоставляемый материал не должен быть </w:t>
      </w:r>
      <w:r>
        <w:rPr>
          <w:rFonts w:ascii="Times New Roman" w:hAnsi="Times New Roman"/>
          <w:b/>
          <w:sz w:val="20"/>
        </w:rPr>
        <w:t>опубликованным ранее в других печатных изданиях</w:t>
      </w:r>
      <w:r>
        <w:rPr>
          <w:rFonts w:ascii="Times New Roman" w:hAnsi="Times New Roman"/>
          <w:sz w:val="20"/>
        </w:rPr>
        <w:t xml:space="preserve"> </w:t>
      </w:r>
    </w:p>
    <w:p w14:paraId="333BFF86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1. </w:t>
      </w:r>
      <w:r>
        <w:rPr>
          <w:rFonts w:ascii="Times New Roman" w:hAnsi="Times New Roman"/>
          <w:b/>
          <w:sz w:val="20"/>
        </w:rPr>
        <w:t>Аннотация</w:t>
      </w:r>
      <w:r>
        <w:rPr>
          <w:rFonts w:ascii="Times New Roman" w:hAnsi="Times New Roman"/>
          <w:sz w:val="20"/>
        </w:rPr>
        <w:t>, которая должна быть информативной (не содержать общих слов), оригинальной, содержательной (отражать основное содержание статьи и результаты исследований), структурированной (следовать логике оп</w:t>
      </w:r>
      <w:r>
        <w:rPr>
          <w:rFonts w:ascii="Times New Roman" w:hAnsi="Times New Roman"/>
          <w:sz w:val="20"/>
        </w:rPr>
        <w:t xml:space="preserve">исания результатов в статье), укладываться в объем 350–500 знаков с пробелами. </w:t>
      </w:r>
    </w:p>
    <w:p w14:paraId="1FC67426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 </w:t>
      </w:r>
      <w:r>
        <w:rPr>
          <w:rFonts w:ascii="Times New Roman" w:hAnsi="Times New Roman"/>
          <w:b/>
          <w:sz w:val="20"/>
        </w:rPr>
        <w:t>Введение</w:t>
      </w:r>
      <w:r>
        <w:rPr>
          <w:rFonts w:ascii="Times New Roman" w:hAnsi="Times New Roman"/>
          <w:sz w:val="20"/>
        </w:rPr>
        <w:t xml:space="preserve"> – постановка задачи в общем виде и её связь с важными научными или практическими задачами, анализ последних исследований в этой области, содержащий выделение нерешё</w:t>
      </w:r>
      <w:r>
        <w:rPr>
          <w:rFonts w:ascii="Times New Roman" w:hAnsi="Times New Roman"/>
          <w:sz w:val="20"/>
        </w:rPr>
        <w:t xml:space="preserve">нных ранее проблем или частей общей проблемы, которым посвящается данная статья; формулировка цели статьи, которая является обязательным элементом. </w:t>
      </w:r>
    </w:p>
    <w:p w14:paraId="1B629FB0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3. </w:t>
      </w:r>
      <w:r>
        <w:rPr>
          <w:rFonts w:ascii="Times New Roman" w:hAnsi="Times New Roman"/>
          <w:b/>
          <w:sz w:val="20"/>
        </w:rPr>
        <w:t>Основная часть</w:t>
      </w:r>
      <w:r>
        <w:rPr>
          <w:rFonts w:ascii="Times New Roman" w:hAnsi="Times New Roman"/>
          <w:sz w:val="20"/>
        </w:rPr>
        <w:t xml:space="preserve"> – изложение основного материала исследования с полным обоснованием полученных научных рез</w:t>
      </w:r>
      <w:r>
        <w:rPr>
          <w:rFonts w:ascii="Times New Roman" w:hAnsi="Times New Roman"/>
          <w:sz w:val="20"/>
        </w:rPr>
        <w:t>ультатов; выводы из данного исследования и перспективы дальнейшего исследования в этом направлении. Основная часть должна быть структурирована по подразделам (как правило, около 2-х), которые способствуют системному изложению объекта и предмета анализа нау</w:t>
      </w:r>
      <w:r>
        <w:rPr>
          <w:rFonts w:ascii="Times New Roman" w:hAnsi="Times New Roman"/>
          <w:sz w:val="20"/>
        </w:rPr>
        <w:t xml:space="preserve">чной статьи. </w:t>
      </w:r>
    </w:p>
    <w:p w14:paraId="3194DA29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4. </w:t>
      </w:r>
      <w:r>
        <w:rPr>
          <w:rFonts w:ascii="Times New Roman" w:hAnsi="Times New Roman"/>
          <w:b/>
          <w:sz w:val="20"/>
        </w:rPr>
        <w:t>Выводы</w:t>
      </w:r>
      <w:r>
        <w:rPr>
          <w:rFonts w:ascii="Times New Roman" w:hAnsi="Times New Roman"/>
          <w:sz w:val="20"/>
        </w:rPr>
        <w:t xml:space="preserve">, отражающие полученные результаты, соответствующие цели научной статьи. </w:t>
      </w:r>
    </w:p>
    <w:p w14:paraId="36822BB7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5. </w:t>
      </w:r>
      <w:r>
        <w:rPr>
          <w:rFonts w:ascii="Times New Roman" w:hAnsi="Times New Roman"/>
          <w:b/>
          <w:sz w:val="20"/>
        </w:rPr>
        <w:t>Библиографический список</w:t>
      </w:r>
      <w:r>
        <w:rPr>
          <w:rFonts w:ascii="Times New Roman" w:hAnsi="Times New Roman"/>
          <w:sz w:val="20"/>
        </w:rPr>
        <w:t xml:space="preserve">, оформленный в соответствии с ГОСТ Р 7.05.2008. </w:t>
      </w:r>
    </w:p>
    <w:p w14:paraId="3AD3D6A2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Разделы статьи</w:t>
      </w:r>
      <w:r>
        <w:rPr>
          <w:rFonts w:ascii="Times New Roman" w:hAnsi="Times New Roman"/>
          <w:sz w:val="20"/>
        </w:rPr>
        <w:t xml:space="preserve"> – введение, основная часть (подзаголовки основных аспектов), выводы – должны быть в тексте обязательно выделены полужирным шрифтом. </w:t>
      </w:r>
    </w:p>
    <w:p w14:paraId="6BDDE5CE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i/>
          <w:sz w:val="20"/>
        </w:rPr>
        <w:t>Рукописи статей, оформленные с грубыми нарушениями правил оформления, программным комитетом не рассматриваются.</w:t>
      </w:r>
      <w:r>
        <w:rPr>
          <w:rFonts w:ascii="Times New Roman" w:hAnsi="Times New Roman"/>
          <w:sz w:val="20"/>
        </w:rPr>
        <w:t xml:space="preserve"> В этом слу</w:t>
      </w:r>
      <w:r>
        <w:rPr>
          <w:rFonts w:ascii="Times New Roman" w:hAnsi="Times New Roman"/>
          <w:sz w:val="20"/>
        </w:rPr>
        <w:t>чае автору направляется мотивированное уведомление.</w:t>
      </w:r>
    </w:p>
    <w:p w14:paraId="3AC611B0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1. Для того чтобы подать статью для опубликования, автор должен заполнить заявку, представленную на сайте СГУПС. Заявка отправляется вместе со статьей при регистрации</w:t>
      </w:r>
      <w:r>
        <w:rPr>
          <w:rFonts w:ascii="Times New Roman" w:hAnsi="Times New Roman"/>
          <w:b/>
          <w:sz w:val="20"/>
        </w:rPr>
        <w:t>.</w:t>
      </w:r>
    </w:p>
    <w:p w14:paraId="5BA15E88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 Статья представляется в электронн</w:t>
      </w:r>
      <w:r>
        <w:rPr>
          <w:rFonts w:ascii="Times New Roman" w:hAnsi="Times New Roman"/>
          <w:sz w:val="20"/>
        </w:rPr>
        <w:t xml:space="preserve">ом виде </w:t>
      </w:r>
      <w:r>
        <w:rPr>
          <w:rFonts w:ascii="Times New Roman" w:hAnsi="Times New Roman"/>
          <w:b/>
          <w:sz w:val="20"/>
        </w:rPr>
        <w:t>только в форматах doc, docx или rtf</w:t>
      </w:r>
      <w:r>
        <w:rPr>
          <w:rFonts w:ascii="Times New Roman" w:hAnsi="Times New Roman"/>
          <w:sz w:val="20"/>
        </w:rPr>
        <w:t xml:space="preserve"> и одновременно в бумажном виде, отпечатанном в формате А4 через одинарный интервал (гарнитура Times New Roman, кегль 14 pt; поля: верхнее, нижнее, левое, правое – 20 мм). Файл с текстом статьи должен быть назван </w:t>
      </w:r>
      <w:r>
        <w:rPr>
          <w:rFonts w:ascii="Times New Roman" w:hAnsi="Times New Roman"/>
          <w:sz w:val="20"/>
        </w:rPr>
        <w:t>фамилией автора (например: Иванов.doc).</w:t>
      </w:r>
    </w:p>
    <w:p w14:paraId="58B48031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 Представляемый материал должен содержать:</w:t>
      </w:r>
    </w:p>
    <w:p w14:paraId="1FA6AA26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– текст статьи (объем статьи должен составлять </w:t>
      </w:r>
      <w:r>
        <w:rPr>
          <w:rFonts w:ascii="Times New Roman" w:hAnsi="Times New Roman"/>
          <w:b/>
          <w:sz w:val="20"/>
        </w:rPr>
        <w:t>6–10</w:t>
      </w:r>
      <w:r>
        <w:rPr>
          <w:rFonts w:ascii="Times New Roman" w:hAnsi="Times New Roman"/>
          <w:sz w:val="20"/>
        </w:rPr>
        <w:t xml:space="preserve"> страниц);</w:t>
      </w:r>
    </w:p>
    <w:p w14:paraId="57DA3F2E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 библиографический список (</w:t>
      </w:r>
      <w:r>
        <w:rPr>
          <w:rFonts w:ascii="Times New Roman" w:hAnsi="Times New Roman"/>
          <w:i/>
          <w:iCs/>
          <w:sz w:val="20"/>
        </w:rPr>
        <w:t>5-10 научно-исследовательских источников (научные статьи, монографии)</w:t>
      </w:r>
      <w:r>
        <w:rPr>
          <w:rFonts w:ascii="Times New Roman" w:hAnsi="Times New Roman"/>
          <w:sz w:val="20"/>
        </w:rPr>
        <w:t>;</w:t>
      </w:r>
    </w:p>
    <w:p w14:paraId="6AB6BD92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 УДК;</w:t>
      </w:r>
    </w:p>
    <w:p w14:paraId="7F937F86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 н</w:t>
      </w:r>
      <w:r>
        <w:rPr>
          <w:rFonts w:ascii="Times New Roman" w:hAnsi="Times New Roman"/>
          <w:sz w:val="20"/>
        </w:rPr>
        <w:t>азвание статьи и фамилии авторов на русском и английском языках;</w:t>
      </w:r>
    </w:p>
    <w:p w14:paraId="589030B0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– аннотацию (350- 500 знаков) и ключевые слова (5–7 слов и словосочетаний) на русском и английском языках (гарнитура Times New Roman, кегль 12 pt).</w:t>
      </w:r>
    </w:p>
    <w:p w14:paraId="2EA8B744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  <w:shd w:val="clear" w:color="auto" w:fill="FFFFFF"/>
        </w:rPr>
      </w:pPr>
      <w:r>
        <w:rPr>
          <w:rFonts w:ascii="Times New Roman" w:hAnsi="Times New Roman"/>
          <w:sz w:val="20"/>
          <w:shd w:val="clear" w:color="auto" w:fill="FFFFFF"/>
        </w:rPr>
        <w:t>4. Таблицы должны иметь содержательные назв</w:t>
      </w:r>
      <w:r>
        <w:rPr>
          <w:rFonts w:ascii="Times New Roman" w:hAnsi="Times New Roman"/>
          <w:sz w:val="20"/>
          <w:shd w:val="clear" w:color="auto" w:fill="FFFFFF"/>
        </w:rPr>
        <w:t xml:space="preserve">ания. В примечаниях к таблицам объясняются все сокращения или обозначения. В случае если таблиц (рисунков) несколько, они должны быть пронумерованы. </w:t>
      </w:r>
      <w:r>
        <w:rPr>
          <w:rFonts w:ascii="Times New Roman" w:hAnsi="Times New Roman"/>
          <w:b/>
          <w:i/>
          <w:sz w:val="20"/>
          <w:shd w:val="clear" w:color="auto" w:fill="FFFFFF"/>
        </w:rPr>
        <w:t>В тексте даются ссылки на таблицы и рисунки</w:t>
      </w:r>
      <w:r>
        <w:rPr>
          <w:rFonts w:ascii="Times New Roman" w:hAnsi="Times New Roman"/>
          <w:sz w:val="20"/>
          <w:shd w:val="clear" w:color="auto" w:fill="FFFFFF"/>
        </w:rPr>
        <w:t>. Иллюстрации должны быть четкими. Рисунки, графики, схемы должн</w:t>
      </w:r>
      <w:r>
        <w:rPr>
          <w:rFonts w:ascii="Times New Roman" w:hAnsi="Times New Roman"/>
          <w:sz w:val="20"/>
          <w:shd w:val="clear" w:color="auto" w:fill="FFFFFF"/>
        </w:rPr>
        <w:t>ы выполняться в графических редакторах, поддерживающих векторную графику (например, Adobe Photoshop). Если в тексте есть фотография, отсканированный рисунок, то они обязательно должны быть представлены также и отдельным файлом в исходном графическом формат</w:t>
      </w:r>
      <w:r>
        <w:rPr>
          <w:rFonts w:ascii="Times New Roman" w:hAnsi="Times New Roman"/>
          <w:sz w:val="20"/>
          <w:shd w:val="clear" w:color="auto" w:fill="FFFFFF"/>
        </w:rPr>
        <w:t>е (например, jpeg). Математические формулы должны быть набраны в редакторе MS Equation 3.0.</w:t>
      </w:r>
    </w:p>
    <w:p w14:paraId="198B71B0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  <w:shd w:val="clear" w:color="auto" w:fill="FFFFFF"/>
        </w:rPr>
      </w:pPr>
      <w:r>
        <w:rPr>
          <w:rFonts w:ascii="Times New Roman" w:hAnsi="Times New Roman"/>
          <w:sz w:val="20"/>
          <w:shd w:val="clear" w:color="auto" w:fill="FFFFFF"/>
        </w:rPr>
        <w:t>5. Библиографический список, составляется по ходу упоминания источников в тексте и приводится в конце рукописи.</w:t>
      </w:r>
    </w:p>
    <w:p w14:paraId="15953971" w14:textId="77777777" w:rsidR="00E60342" w:rsidRDefault="00692649">
      <w:pPr>
        <w:spacing w:after="0"/>
        <w:ind w:firstLine="425"/>
        <w:jc w:val="both"/>
        <w:rPr>
          <w:rFonts w:ascii="Times New Roman" w:hAnsi="Times New Roman"/>
          <w:sz w:val="20"/>
          <w:shd w:val="clear" w:color="auto" w:fill="FFFFFF"/>
        </w:rPr>
      </w:pPr>
      <w:r>
        <w:rPr>
          <w:rFonts w:ascii="Times New Roman" w:hAnsi="Times New Roman"/>
          <w:sz w:val="20"/>
          <w:shd w:val="clear" w:color="auto" w:fill="FFFFFF"/>
        </w:rPr>
        <w:t>Ссылки в тексте оформляются в квадратных скобках сле</w:t>
      </w:r>
      <w:r>
        <w:rPr>
          <w:rFonts w:ascii="Times New Roman" w:hAnsi="Times New Roman"/>
          <w:sz w:val="20"/>
          <w:shd w:val="clear" w:color="auto" w:fill="FFFFFF"/>
        </w:rPr>
        <w:t xml:space="preserve">дующим образом: на литературу с указанием страницы [3, с. 252], на электронный источник - указывается его порядковый номер [6]. При цитировании указание страницы источника обязательно. </w:t>
      </w:r>
    </w:p>
    <w:p w14:paraId="18C968FD" w14:textId="77777777" w:rsidR="00E60342" w:rsidRDefault="00692649">
      <w:pPr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Все статьи будут проверяться на оригинальность текста (не менее </w:t>
      </w:r>
      <w:r>
        <w:rPr>
          <w:rFonts w:ascii="Times New Roman" w:hAnsi="Times New Roman"/>
          <w:b/>
          <w:sz w:val="20"/>
        </w:rPr>
        <w:t>75%</w:t>
      </w:r>
      <w:r>
        <w:rPr>
          <w:rFonts w:ascii="Times New Roman" w:hAnsi="Times New Roman"/>
          <w:sz w:val="20"/>
        </w:rPr>
        <w:t xml:space="preserve"> ор</w:t>
      </w:r>
      <w:r>
        <w:rPr>
          <w:rFonts w:ascii="Times New Roman" w:hAnsi="Times New Roman"/>
          <w:sz w:val="20"/>
        </w:rPr>
        <w:t xml:space="preserve">игинальности (не менее 50% от всего текста) + цитирование). </w:t>
      </w:r>
      <w:r>
        <w:rPr>
          <w:rFonts w:ascii="Times New Roman" w:hAnsi="Times New Roman"/>
          <w:b/>
          <w:i/>
          <w:sz w:val="20"/>
        </w:rPr>
        <w:t>Оргкомитет имеет право отказать автору в публикации при несоответствии статьи заявленным требованиям оформления</w:t>
      </w:r>
      <w:r>
        <w:rPr>
          <w:rFonts w:ascii="Times New Roman" w:hAnsi="Times New Roman"/>
          <w:b/>
          <w:sz w:val="20"/>
        </w:rPr>
        <w:t>.</w:t>
      </w:r>
    </w:p>
    <w:p w14:paraId="01CD6996" w14:textId="77777777" w:rsidR="00E60342" w:rsidRDefault="0069264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737687D" w14:textId="77777777" w:rsidR="00E60342" w:rsidRDefault="0069264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Требования к оформлению научной статьи для публикации</w:t>
      </w:r>
    </w:p>
    <w:p w14:paraId="43B030E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b/>
          <w:sz w:val="24"/>
        </w:rPr>
        <w:t>Объем</w:t>
      </w:r>
      <w:r>
        <w:rPr>
          <w:rFonts w:ascii="Times New Roman" w:hAnsi="Times New Roman"/>
          <w:sz w:val="24"/>
        </w:rPr>
        <w:t xml:space="preserve"> – 6–10 страниц, формат MS WORD, межстрочный интервал полуторный (за исключением обозначенных случаев), шрифт Times New Roman, размер шрифта 14 (за исключением обозначенных случаев). </w:t>
      </w:r>
    </w:p>
    <w:p w14:paraId="59507E7B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Рабочее поле формата А4: верхнее и нижнее – 2 см; левое – 3 см; право</w:t>
      </w:r>
      <w:r>
        <w:rPr>
          <w:rFonts w:ascii="Times New Roman" w:hAnsi="Times New Roman"/>
          <w:sz w:val="24"/>
        </w:rPr>
        <w:t xml:space="preserve">е – 1,5 см, абзацный отступ – 1,25 см. </w:t>
      </w:r>
    </w:p>
    <w:p w14:paraId="001124DB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Страницы должны иметь сквозную нумерацию арабскими цифрами по всему тексту, включая список использованных источников и приложения. Номер страницы проставляют в центре нижнего поля страницы. </w:t>
      </w:r>
    </w:p>
    <w:p w14:paraId="2CBF95D0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На русском и ан</w:t>
      </w:r>
      <w:r>
        <w:rPr>
          <w:rFonts w:ascii="Times New Roman" w:hAnsi="Times New Roman"/>
          <w:sz w:val="24"/>
        </w:rPr>
        <w:t xml:space="preserve">глийском языках представляются следующие элементы: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название статьи (печатается заглавными буквами, полужирным шрифтом, выравнивание – по центру);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фамилия(-и) автора (-ов) и инициалы (печатаются строчными буквами, полужирным шрифтом, выравнивание – по п</w:t>
      </w:r>
      <w:r>
        <w:rPr>
          <w:rFonts w:ascii="Times New Roman" w:hAnsi="Times New Roman"/>
          <w:sz w:val="24"/>
        </w:rPr>
        <w:t xml:space="preserve">равому краю. </w:t>
      </w:r>
    </w:p>
    <w:p w14:paraId="4CE32581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Если статья написана в соавторстве, фамилии и инициалы авторов печатаются через запятую);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перед фамилией (-ями) автора (-ов) в левом верхнем углу указывается код УДК;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аннотация (печатается строчными буквами, выделенными курсивом, выравнив</w:t>
      </w:r>
      <w:r>
        <w:rPr>
          <w:rFonts w:ascii="Times New Roman" w:hAnsi="Times New Roman"/>
          <w:sz w:val="24"/>
        </w:rPr>
        <w:t xml:space="preserve">ание – по ширине). </w:t>
      </w:r>
    </w:p>
    <w:p w14:paraId="41229E47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Аннотация и ключевые слова отделяются друг от друга свободной строкой;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ключевые слова (печатаются строчными буквами, выделенными курсивом, выравнивание – по ширине. </w:t>
      </w:r>
    </w:p>
    <w:p w14:paraId="681EF08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Словосочетание «</w:t>
      </w:r>
      <w:r>
        <w:rPr>
          <w:rFonts w:ascii="Times New Roman" w:hAnsi="Times New Roman"/>
          <w:b/>
          <w:sz w:val="24"/>
        </w:rPr>
        <w:t>Ключевые слова</w:t>
      </w:r>
      <w:r>
        <w:rPr>
          <w:rFonts w:ascii="Times New Roman" w:hAnsi="Times New Roman"/>
          <w:sz w:val="24"/>
        </w:rPr>
        <w:t>» печатается полужирным шрифтом). Анно</w:t>
      </w:r>
      <w:r>
        <w:rPr>
          <w:rFonts w:ascii="Times New Roman" w:hAnsi="Times New Roman"/>
          <w:sz w:val="24"/>
        </w:rPr>
        <w:t xml:space="preserve">тация, ключевые слова и введение отделяются друг от друга свободной строкой. Вышеуказанные элементы печатаются через одинарный межстрочный интервал. </w:t>
      </w:r>
    </w:p>
    <w:p w14:paraId="05FDF949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Разделы статьи – введение (выравнивание – по левому краю), основная часть (подзаголовки основных аспектов:</w:t>
      </w:r>
      <w:r>
        <w:rPr>
          <w:rFonts w:ascii="Times New Roman" w:hAnsi="Times New Roman"/>
          <w:sz w:val="24"/>
        </w:rPr>
        <w:t xml:space="preserve"> выравнивание – по центру страницы), выводы (выравнивание – по левому краю) – должны быть в тексте обязательно выделены полужирным шрифтом, печатаются строчными буквами. </w:t>
      </w:r>
    </w:p>
    <w:p w14:paraId="7B51064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b/>
          <w:sz w:val="24"/>
        </w:rPr>
        <w:t>Оформление таблиц</w:t>
      </w:r>
      <w:r>
        <w:rPr>
          <w:rFonts w:ascii="Times New Roman" w:hAnsi="Times New Roman"/>
          <w:sz w:val="24"/>
        </w:rPr>
        <w:t xml:space="preserve"> </w:t>
      </w:r>
    </w:p>
    <w:p w14:paraId="6E6A20A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Таблицы должны быть выполнены в редакторе Microsoft Word (</w:t>
      </w:r>
      <w:r>
        <w:rPr>
          <w:rFonts w:ascii="Times New Roman" w:hAnsi="Times New Roman"/>
          <w:sz w:val="24"/>
        </w:rPr>
        <w:t xml:space="preserve">несканированные). Межстрочный интервал – одинарный, шрифт Times New Roman, размер шрифта 12. </w:t>
      </w:r>
    </w:p>
    <w:p w14:paraId="7873076B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Таблицы размещаются внутри текста после ссылок на них, размеры таблицы не должны выходить за поля текста. </w:t>
      </w:r>
    </w:p>
    <w:p w14:paraId="6FF09DF6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Таблицы должны быть пронумерованы, иметь назв</w:t>
      </w:r>
      <w:r>
        <w:rPr>
          <w:rFonts w:ascii="Times New Roman" w:hAnsi="Times New Roman"/>
          <w:sz w:val="24"/>
        </w:rPr>
        <w:t>ание, расположенное над таблицей. (Слово «Таблица» печатается строчными буквами, выделенными курсивом, выравнивание – по правому краю. Название таблицы печатается строчными буквами, полужирным шрифтом, через одинарный межстрочный интервал, выравнивание – п</w:t>
      </w:r>
      <w:r>
        <w:rPr>
          <w:rFonts w:ascii="Times New Roman" w:hAnsi="Times New Roman"/>
          <w:sz w:val="24"/>
        </w:rPr>
        <w:t xml:space="preserve">о центру.) </w:t>
      </w:r>
    </w:p>
    <w:p w14:paraId="7CE8DD9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b/>
          <w:sz w:val="24"/>
        </w:rPr>
        <w:t>Оформление рисунков и формул</w:t>
      </w:r>
      <w:r>
        <w:rPr>
          <w:rFonts w:ascii="Times New Roman" w:hAnsi="Times New Roman"/>
          <w:sz w:val="24"/>
        </w:rPr>
        <w:t xml:space="preserve"> </w:t>
      </w:r>
    </w:p>
    <w:p w14:paraId="0C89504F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Количество графического материала (иллюстраций) должно быть минимально необходимым (не более 5). </w:t>
      </w:r>
    </w:p>
    <w:p w14:paraId="0ADA9C9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Рисунки должны быть внутри текста статьи, с привязкой к странице в формате .jpg, .png (без сжатия) с пр</w:t>
      </w:r>
      <w:r>
        <w:rPr>
          <w:rFonts w:ascii="Times New Roman" w:hAnsi="Times New Roman"/>
          <w:sz w:val="24"/>
        </w:rPr>
        <w:t xml:space="preserve">онумерованной подрисуночной подписью (например, Рис. 1. Название рисунка). </w:t>
      </w:r>
    </w:p>
    <w:p w14:paraId="7FB57DE1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Рисунки должны быть четкие, не бледные и только черно-белые. Все обозначения на рисунках должны быть четкими и хорошо отличимыми друг от друга. Применение фоновых рисунков и з</w:t>
      </w:r>
      <w:r>
        <w:rPr>
          <w:rFonts w:ascii="Times New Roman" w:hAnsi="Times New Roman"/>
          <w:sz w:val="24"/>
        </w:rPr>
        <w:t xml:space="preserve">аливки не рекомендуется. </w:t>
      </w:r>
    </w:p>
    <w:p w14:paraId="70AB0FB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Не допускается использование скриншотов слайдов презентаций в качестве иллюстраций. Не допускается повторение содержания рисунков и таблиц в тексте статьи. </w:t>
      </w:r>
    </w:p>
    <w:p w14:paraId="6D866D0A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Все формулы должны быть набраны только в Microsoft Equation 3 в</w:t>
      </w:r>
      <w:r>
        <w:rPr>
          <w:rFonts w:ascii="Times New Roman" w:hAnsi="Times New Roman"/>
          <w:sz w:val="24"/>
        </w:rPr>
        <w:t>нутри текста статьи. Формулы, содержащие только текст и математические символы и верхний/нижний индекс, должны быть набраны только обычным текстом (не в формульном редакторе). Символы во всех формулах должны быть одинакового размера и соответствовать разме</w:t>
      </w:r>
      <w:r>
        <w:rPr>
          <w:rFonts w:ascii="Times New Roman" w:hAnsi="Times New Roman"/>
          <w:sz w:val="24"/>
        </w:rPr>
        <w:t xml:space="preserve">ру основного текста. Порядковый номер формулы ставится в круглых скобках справа от формулы </w:t>
      </w:r>
      <w:r>
        <w:rPr>
          <w:rFonts w:ascii="Times New Roman" w:hAnsi="Times New Roman"/>
          <w:sz w:val="24"/>
        </w:rPr>
        <w:lastRenderedPageBreak/>
        <w:t xml:space="preserve">у границы полосы набора. Выше и ниже каждой формулы или уравнения должно быть оставлено не менее одной свободной строки. </w:t>
      </w:r>
    </w:p>
    <w:p w14:paraId="59121430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b/>
          <w:sz w:val="24"/>
        </w:rPr>
        <w:t>Сокращение слов</w:t>
      </w:r>
      <w:r>
        <w:rPr>
          <w:rFonts w:ascii="Times New Roman" w:hAnsi="Times New Roman"/>
          <w:sz w:val="24"/>
        </w:rPr>
        <w:t xml:space="preserve"> В работах могут применят</w:t>
      </w:r>
      <w:r>
        <w:rPr>
          <w:rFonts w:ascii="Times New Roman" w:hAnsi="Times New Roman"/>
          <w:sz w:val="24"/>
        </w:rPr>
        <w:t xml:space="preserve">ься авторские сокращения. При этом после их первого упоминания в тексте необходимо в скобках указать аббревиатуру: например, средства вычислительной техники (СВТ). </w:t>
      </w:r>
    </w:p>
    <w:p w14:paraId="259D6382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Библиографические ссылки и список литературы </w:t>
      </w:r>
    </w:p>
    <w:p w14:paraId="21FF458D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Библиографические ссылки на используе</w:t>
      </w:r>
      <w:r>
        <w:rPr>
          <w:rFonts w:ascii="Times New Roman" w:hAnsi="Times New Roman"/>
          <w:sz w:val="24"/>
        </w:rPr>
        <w:t xml:space="preserve">мые источники даются в тексте в квадратных скобках [ ]. </w:t>
      </w:r>
    </w:p>
    <w:p w14:paraId="591BE519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Библиографические ссылки должны быть затекстовые, т.е. список литературы приводится в конце статьи в порядке упоминания источников в тексте и оформляется по ГОСТ Р 7.05.2008.</w:t>
      </w:r>
    </w:p>
    <w:p w14:paraId="1E30D6BC" w14:textId="77777777" w:rsidR="00E60342" w:rsidRDefault="0069264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2AABE4A" w14:textId="0DE744DE" w:rsidR="00E60342" w:rsidRDefault="00692649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 w:rsidR="00183B41">
        <w:rPr>
          <w:rFonts w:ascii="Times New Roman" w:hAnsi="Times New Roman"/>
          <w:b/>
          <w:sz w:val="24"/>
        </w:rPr>
        <w:t>3</w:t>
      </w:r>
    </w:p>
    <w:p w14:paraId="7B530E79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Шаблон оформления научной статьи для публикации</w:t>
      </w:r>
    </w:p>
    <w:p w14:paraId="3C5F1FE2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УДК 339</w:t>
      </w:r>
    </w:p>
    <w:p w14:paraId="2856F88B" w14:textId="77777777" w:rsidR="00E60342" w:rsidRDefault="00692649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Бондаренко А.О</w:t>
      </w:r>
      <w:r>
        <w:rPr>
          <w:rFonts w:ascii="Times New Roman" w:hAnsi="Times New Roman"/>
          <w:sz w:val="24"/>
        </w:rPr>
        <w:t xml:space="preserve">. </w:t>
      </w:r>
    </w:p>
    <w:p w14:paraId="2B89C55D" w14:textId="77777777" w:rsidR="00E60342" w:rsidRDefault="00692649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или (в соавторстве) </w:t>
      </w:r>
      <w:r>
        <w:rPr>
          <w:rFonts w:ascii="Times New Roman" w:hAnsi="Times New Roman"/>
          <w:b/>
          <w:sz w:val="24"/>
        </w:rPr>
        <w:t>Бондаренко А.О., Радченко Я.А</w:t>
      </w:r>
      <w:r>
        <w:rPr>
          <w:rFonts w:ascii="Times New Roman" w:hAnsi="Times New Roman"/>
          <w:sz w:val="24"/>
        </w:rPr>
        <w:t xml:space="preserve">. </w:t>
      </w:r>
    </w:p>
    <w:p w14:paraId="5F654498" w14:textId="77777777" w:rsidR="00E60342" w:rsidRDefault="00E60342">
      <w:pPr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</w:p>
    <w:p w14:paraId="4B0563D1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ТЕОРИЯ И ПРАКТИКА ОСУЩЕСТВЛЕНИЯ ТАМОЖЕННОГО КОНТРОЛЯ ПОСЛЕ ВЫПУСКА ТОВАРОВ В РАМКАХ ЕВРАЗИЙСКОГО ЭКОНОМИЧЕСКОГО СОЮЗА (НА ПРИМЕРЕ </w:t>
      </w:r>
      <w:r>
        <w:rPr>
          <w:rFonts w:ascii="Times New Roman" w:hAnsi="Times New Roman"/>
          <w:b/>
          <w:sz w:val="24"/>
        </w:rPr>
        <w:t>ЮЖНОГО ТАМОЖЕННОГО УПРАВЛЕНИЯ)</w:t>
      </w:r>
    </w:p>
    <w:p w14:paraId="28D338A5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4A30E51D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статье рассматриваются изменения положений таможенного законодательства Евразийского экономического союза и Российской Федерации о таможенном контроле после выпуска товаров, отмечается их значимость. Автором проведен сравн</w:t>
      </w:r>
      <w:r>
        <w:rPr>
          <w:rFonts w:ascii="Times New Roman" w:hAnsi="Times New Roman"/>
          <w:sz w:val="24"/>
        </w:rPr>
        <w:t xml:space="preserve">ительный анализ показателей деятельности подразделений таможенного контроля после выпуска товаров Южного таможенного управления за период 2023–2024 гг. </w:t>
      </w:r>
    </w:p>
    <w:p w14:paraId="50D254D6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</w:rPr>
      </w:pPr>
    </w:p>
    <w:p w14:paraId="300D84A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Ключевые слова</w:t>
      </w:r>
      <w:r>
        <w:rPr>
          <w:rFonts w:ascii="Times New Roman" w:hAnsi="Times New Roman"/>
          <w:sz w:val="24"/>
        </w:rPr>
        <w:t xml:space="preserve">: таможенный контроль после выпуска товаров, форма таможенного контроля, таможенная проверка, камеральная таможенная проверка, выездная таможенная проверка, таможенные платежи. </w:t>
      </w:r>
    </w:p>
    <w:p w14:paraId="11A63477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037652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Введение </w:t>
      </w:r>
    </w:p>
    <w:p w14:paraId="582FDA7D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Стратегией развития таможенной службы Российской Федерации до 2030 </w:t>
      </w:r>
      <w:r>
        <w:rPr>
          <w:rFonts w:ascii="Times New Roman" w:hAnsi="Times New Roman"/>
          <w:sz w:val="24"/>
        </w:rPr>
        <w:t>года определена необходимость переноса основной нагрузки таможенного контроля с этапа декларирования на этап после выпуска товаров в целях содействия торговле, ускорения таможенных операций и одновременно обеспечения надлежащего качества таможенного контро</w:t>
      </w:r>
      <w:r>
        <w:rPr>
          <w:rFonts w:ascii="Times New Roman" w:hAnsi="Times New Roman"/>
          <w:sz w:val="24"/>
        </w:rPr>
        <w:t xml:space="preserve">ля [1]. </w:t>
      </w:r>
    </w:p>
    <w:p w14:paraId="3EDDC108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Цель данной статьи</w:t>
      </w:r>
      <w:r>
        <w:rPr>
          <w:rFonts w:ascii="Times New Roman" w:hAnsi="Times New Roman"/>
          <w:sz w:val="24"/>
        </w:rPr>
        <w:t xml:space="preserve"> – проанализировать осуществление таможенного контроля после выпуска товаров путем сравнения положений таможенного законодательства, действовавших до вступления в силу Таможенного кодекса Евразийского экономического союза (ТК ЕАЭ</w:t>
      </w:r>
      <w:r>
        <w:rPr>
          <w:rFonts w:ascii="Times New Roman" w:hAnsi="Times New Roman"/>
          <w:sz w:val="24"/>
        </w:rPr>
        <w:t xml:space="preserve">С) и Федерального закона от 03.08.2018 № 289-ФЗ «О таможенном регулировании в Российской Федерации и о внесении изменений в отдельные законодательные акты Российской Федерации», с положениями таможенного законодательства, действующими в настоящее время. </w:t>
      </w:r>
    </w:p>
    <w:p w14:paraId="5C431EA8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15FBE93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1. Сравнение изменений положений таможенного законодательства Евразийского экономического союза о таможенном контроле после выпуска товаров</w:t>
      </w:r>
    </w:p>
    <w:p w14:paraId="7C2E1F04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068E65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Важным событием для бизнес-сообщества, деятельность которого связана с осуществлением внешнеэкономической деятельно</w:t>
      </w:r>
      <w:r>
        <w:rPr>
          <w:rFonts w:ascii="Times New Roman" w:hAnsi="Times New Roman"/>
          <w:sz w:val="24"/>
        </w:rPr>
        <w:t>сти, является вступление в силу с 01.01.2018 ТК ЕАЭС и с 04.09.2018 – федерального закона от 03.08.2018 № 289-ФЗ «О таможенном регулировании в Российской Федерации и о внесении изменений в отдельные законодательные акты Российской Федерации». Данные законо</w:t>
      </w:r>
      <w:r>
        <w:rPr>
          <w:rFonts w:ascii="Times New Roman" w:hAnsi="Times New Roman"/>
          <w:sz w:val="24"/>
        </w:rPr>
        <w:t xml:space="preserve">дательные акты привнесли значительные изменения в положения о таможенном контроле после выпуска товаров [2], которые представлены в таблице 1. </w:t>
      </w:r>
    </w:p>
    <w:p w14:paraId="2358BA06" w14:textId="77777777" w:rsidR="00E60342" w:rsidRDefault="00692649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Таблица 1 </w:t>
      </w:r>
    </w:p>
    <w:p w14:paraId="1DE530AE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Положения ТК ЕАЭС и Таможенного кодекса Таможенного союза (ТК ТС) о таможенном контроле после выпуска</w:t>
      </w:r>
      <w:r>
        <w:rPr>
          <w:rFonts w:ascii="Times New Roman" w:hAnsi="Times New Roman"/>
          <w:b/>
          <w:sz w:val="24"/>
        </w:rPr>
        <w:t xml:space="preserve"> товаров</w:t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6799"/>
        <w:gridCol w:w="1276"/>
        <w:gridCol w:w="1270"/>
      </w:tblGrid>
      <w:tr w:rsidR="00E60342" w14:paraId="0215E895" w14:textId="77777777">
        <w:tc>
          <w:tcPr>
            <w:tcW w:w="6799" w:type="dxa"/>
          </w:tcPr>
          <w:p w14:paraId="7C893509" w14:textId="77777777" w:rsidR="00E60342" w:rsidRDefault="006926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Сравниваемое положение</w:t>
            </w:r>
          </w:p>
        </w:tc>
        <w:tc>
          <w:tcPr>
            <w:tcW w:w="1276" w:type="dxa"/>
          </w:tcPr>
          <w:p w14:paraId="36C49275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ТК ТС</w:t>
            </w:r>
          </w:p>
        </w:tc>
        <w:tc>
          <w:tcPr>
            <w:tcW w:w="1270" w:type="dxa"/>
          </w:tcPr>
          <w:p w14:paraId="2E335378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ТК ЕАЭС</w:t>
            </w:r>
          </w:p>
        </w:tc>
      </w:tr>
      <w:tr w:rsidR="00E60342" w14:paraId="012B95D6" w14:textId="77777777">
        <w:tc>
          <w:tcPr>
            <w:tcW w:w="6799" w:type="dxa"/>
          </w:tcPr>
          <w:p w14:paraId="1D884245" w14:textId="77777777" w:rsidR="00E60342" w:rsidRDefault="006926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форм таможенного контроля</w:t>
            </w:r>
          </w:p>
        </w:tc>
        <w:tc>
          <w:tcPr>
            <w:tcW w:w="1276" w:type="dxa"/>
          </w:tcPr>
          <w:p w14:paraId="0F631602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70" w:type="dxa"/>
          </w:tcPr>
          <w:p w14:paraId="674FF309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E60342" w14:paraId="1AA4B21E" w14:textId="77777777">
        <w:tc>
          <w:tcPr>
            <w:tcW w:w="6799" w:type="dxa"/>
          </w:tcPr>
          <w:p w14:paraId="001FE5FF" w14:textId="77777777" w:rsidR="00E60342" w:rsidRDefault="0069264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</w:t>
            </w:r>
          </w:p>
        </w:tc>
        <w:tc>
          <w:tcPr>
            <w:tcW w:w="1276" w:type="dxa"/>
          </w:tcPr>
          <w:p w14:paraId="62C72467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270" w:type="dxa"/>
          </w:tcPr>
          <w:p w14:paraId="0CCC74AC" w14:textId="77777777" w:rsidR="00E60342" w:rsidRDefault="00692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</w:tr>
    </w:tbl>
    <w:p w14:paraId="3B51F540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23A759C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Как показывает сравнительный анализ, сокращение форм таможенного контроля является следствием упрощения таможенных операций и таможенного контроля в целях ускорения их совершения и смещения нагрузки таможенного контроля на этап после выпуска [3]. … </w:t>
      </w:r>
    </w:p>
    <w:p w14:paraId="27BEC7F3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5D098CCB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Ан</w:t>
      </w:r>
      <w:r>
        <w:rPr>
          <w:rFonts w:ascii="Times New Roman" w:hAnsi="Times New Roman"/>
          <w:b/>
          <w:sz w:val="24"/>
        </w:rPr>
        <w:t>ализ результатов деятельности подразделений таможенного контроля после выпуска товаров Южного таможенного управления за 2023 и 2024 гг.</w:t>
      </w:r>
      <w:r>
        <w:rPr>
          <w:rFonts w:ascii="Times New Roman" w:hAnsi="Times New Roman"/>
          <w:sz w:val="24"/>
        </w:rPr>
        <w:t xml:space="preserve"> </w:t>
      </w:r>
    </w:p>
    <w:p w14:paraId="526B2794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73DA3ED1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Важным показателем деятельности таможенных органов, в том числе Южного таможенного управления (ЮТУ), по направлению та</w:t>
      </w:r>
      <w:r>
        <w:rPr>
          <w:rFonts w:ascii="Times New Roman" w:hAnsi="Times New Roman"/>
          <w:sz w:val="24"/>
        </w:rPr>
        <w:t xml:space="preserve">моженного контроля ТКПВТ является результативность таможенных проверок (Р). Расчет данного показателя производится по формуле (1). </w:t>
      </w:r>
    </w:p>
    <w:p w14:paraId="16A8C0E7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Р= KР K ×100%,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(1)</w:t>
      </w:r>
    </w:p>
    <w:p w14:paraId="62FD23D3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где Кр – количество результативных таможенных проверок в отчетном периоде; K – количество завершенных т</w:t>
      </w:r>
      <w:r>
        <w:rPr>
          <w:rFonts w:ascii="Times New Roman" w:hAnsi="Times New Roman"/>
          <w:sz w:val="24"/>
        </w:rPr>
        <w:t xml:space="preserve">аможенных проверок в отчетном периоде. В 2023 году общая результативность таможенных проверок в ЮТУ составила 89 %, при установленном ФТС России контрольном значении 82 % [4]. </w:t>
      </w:r>
    </w:p>
    <w:p w14:paraId="2454418D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Как показывает анализ деятельности подразделений таможенного контроля после вып</w:t>
      </w:r>
      <w:r>
        <w:rPr>
          <w:rFonts w:ascii="Times New Roman" w:hAnsi="Times New Roman"/>
          <w:sz w:val="24"/>
        </w:rPr>
        <w:t xml:space="preserve">уска товаров ЮТУ, за исследуемый период наблюдается увеличение как доначисленных, так и взысканных таможенных платежей, пеней и штрафов, что отражено на рис. 1. </w:t>
      </w:r>
    </w:p>
    <w:p w14:paraId="4F638747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Размещается изображение рисунка 1</w:t>
      </w:r>
    </w:p>
    <w:p w14:paraId="38498C74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Рис. 1. Результаты деятельности подразделений ТКПВТ ЮТУ (202</w:t>
      </w:r>
      <w:r>
        <w:rPr>
          <w:rFonts w:ascii="Times New Roman" w:hAnsi="Times New Roman"/>
          <w:sz w:val="24"/>
        </w:rPr>
        <w:t xml:space="preserve">3–2024 гг.) </w:t>
      </w:r>
    </w:p>
    <w:p w14:paraId="789E19ED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6455867E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Сумма доначисленных платежей за исследуемый период увеличилась на 9,9 %, а сумма взысканных платежей – на 45 %. Увеличение процента взыскания таможенных платежей, пеней и штрафов за исследуемый период на 15,3 % свидетельствует о положительных</w:t>
      </w:r>
      <w:r>
        <w:rPr>
          <w:rFonts w:ascii="Times New Roman" w:hAnsi="Times New Roman"/>
          <w:sz w:val="24"/>
        </w:rPr>
        <w:t xml:space="preserve"> результатах деятельности подразделений ТКПВТ ЮТУ [4].</w:t>
      </w:r>
    </w:p>
    <w:p w14:paraId="4015711B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 </w:t>
      </w:r>
    </w:p>
    <w:p w14:paraId="11A0F0C7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Выводы</w:t>
      </w:r>
    </w:p>
    <w:p w14:paraId="6641BF35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Учитывая все вышеизложенное, следует отметить, что законодатель способствует развитию института ТКПВТ, сокращая формы таможенного контроля и наделяя должностных лиц таможенных органов бо́льши</w:t>
      </w:r>
      <w:r>
        <w:rPr>
          <w:rFonts w:ascii="Times New Roman" w:hAnsi="Times New Roman"/>
          <w:sz w:val="24"/>
        </w:rPr>
        <w:t>ми правами при проведении таможенных проверок. Такие изменения, на наш взгляд, положительно отражаются в целом на результатах деятельности таможенных органов, в частности ЮТУ. Важно отметить тот факт, что большое значение для достижения положительных резул</w:t>
      </w:r>
      <w:r>
        <w:rPr>
          <w:rFonts w:ascii="Times New Roman" w:hAnsi="Times New Roman"/>
          <w:sz w:val="24"/>
        </w:rPr>
        <w:t xml:space="preserve">ьтатов имеет выполнение подразделениями ТКПВТ ЮТУ целевых показателей, а также высокий профессионализм должностных лиц ЮТУ и преданность своему делу. </w:t>
      </w:r>
    </w:p>
    <w:p w14:paraId="035147F2" w14:textId="77777777" w:rsidR="00E60342" w:rsidRDefault="00E6034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14:paraId="6041D3C6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ЛИТЕРАТУРА, ИСТОЧНИКИ</w:t>
      </w:r>
    </w:p>
    <w:p w14:paraId="586629FF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Распоряжение Правительства Российской Федерации от 23.05.2020 № 1388-р «Стратегия развития таможенной службы Российской Федерации до 2030 года» // Официальный интернет-портал правовой информации. URL: </w:t>
      </w:r>
      <w:hyperlink r:id="rId9" w:history="1">
        <w:r>
          <w:rPr>
            <w:rStyle w:val="aff"/>
            <w:rFonts w:ascii="Times New Roman" w:hAnsi="Times New Roman"/>
            <w:sz w:val="24"/>
          </w:rPr>
          <w:t>http://www.pravo</w:t>
        </w:r>
        <w:r>
          <w:rPr>
            <w:rStyle w:val="aff"/>
            <w:rFonts w:ascii="Times New Roman" w:hAnsi="Times New Roman"/>
            <w:sz w:val="24"/>
          </w:rPr>
          <w:t>.gov.ru</w:t>
        </w:r>
      </w:hyperlink>
      <w:r>
        <w:rPr>
          <w:rFonts w:ascii="Times New Roman" w:hAnsi="Times New Roman"/>
          <w:sz w:val="24"/>
        </w:rPr>
        <w:t xml:space="preserve"> (дата обращения: 12.09.2025).</w:t>
      </w:r>
    </w:p>
    <w:p w14:paraId="62660F06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Таможенный кодекс Евразийского экономического союза (приложение № 1 к Договору о Таможенном кодексе Евразийского экономического союза) // Официальный интернет-портал правовой информации. URL: </w:t>
      </w:r>
      <w:hyperlink r:id="rId10" w:history="1">
        <w:r>
          <w:rPr>
            <w:rStyle w:val="aff"/>
            <w:rFonts w:ascii="Times New Roman" w:hAnsi="Times New Roman"/>
            <w:sz w:val="24"/>
          </w:rPr>
          <w:t>http://www.pravo.gov.ru</w:t>
        </w:r>
      </w:hyperlink>
      <w:r>
        <w:rPr>
          <w:rFonts w:ascii="Times New Roman" w:hAnsi="Times New Roman"/>
          <w:sz w:val="24"/>
        </w:rPr>
        <w:t xml:space="preserve"> (дата обращения: 12.09.2025).</w:t>
      </w:r>
    </w:p>
    <w:p w14:paraId="005B4EE5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Мартынова, И.Р. Роль таможенного контроля после выпуска товаров в обеспечении экономической безопасности РФ / И.Р. Мартынова, А.С. Пятакова, М.Д. Ткаченко // Актуальные проблемы ра</w:t>
      </w:r>
      <w:r>
        <w:rPr>
          <w:rFonts w:ascii="Times New Roman" w:hAnsi="Times New Roman"/>
          <w:sz w:val="24"/>
        </w:rPr>
        <w:t xml:space="preserve">звития социально-экономических систем: теория и практика: сборник научных статей 12-й Международной научно практической конференции. Курск, 2022. С. 250–252. </w:t>
      </w:r>
    </w:p>
    <w:p w14:paraId="49EE6861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 Результаты деятельности подразделений таможенного контроля после выпуска товаров Южного таможе</w:t>
      </w:r>
      <w:r>
        <w:rPr>
          <w:rFonts w:ascii="Times New Roman" w:hAnsi="Times New Roman"/>
          <w:sz w:val="24"/>
        </w:rPr>
        <w:t xml:space="preserve">нного управления за 1 полугодие 2022 года и 1 полугодие 2024 года // Официальный сайт Южного таможенного управления Федеральной таможенной службы России. - URL: </w:t>
      </w:r>
      <w:hyperlink r:id="rId11" w:history="1">
        <w:r>
          <w:rPr>
            <w:rStyle w:val="aff"/>
            <w:rFonts w:ascii="Times New Roman" w:hAnsi="Times New Roman"/>
            <w:sz w:val="24"/>
          </w:rPr>
          <w:t>http://yutu.customs.ru</w:t>
        </w:r>
      </w:hyperlink>
      <w:r>
        <w:rPr>
          <w:rFonts w:ascii="Times New Roman" w:hAnsi="Times New Roman"/>
          <w:sz w:val="24"/>
        </w:rPr>
        <w:t xml:space="preserve"> (дата обращения: 12.09.2025).</w:t>
      </w:r>
    </w:p>
    <w:p w14:paraId="5A272C20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D4BC84" w14:textId="77777777" w:rsidR="00E60342" w:rsidRDefault="00692649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>Bon</w:t>
      </w:r>
      <w:r>
        <w:rPr>
          <w:rFonts w:ascii="Times New Roman" w:hAnsi="Times New Roman"/>
          <w:b/>
          <w:i/>
          <w:sz w:val="24"/>
          <w:lang w:val="en-US"/>
        </w:rPr>
        <w:t xml:space="preserve">darenko A.O. </w:t>
      </w:r>
    </w:p>
    <w:p w14:paraId="1B50D538" w14:textId="77777777" w:rsidR="00E60342" w:rsidRDefault="00E60342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4"/>
          <w:lang w:val="en-US"/>
        </w:rPr>
      </w:pPr>
    </w:p>
    <w:p w14:paraId="071080D7" w14:textId="77777777" w:rsidR="00E60342" w:rsidRDefault="0069264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THEORY AND PRACTICE OF CUSTOMS CONTROL AFTER THE RELEASE OF GOODS WITHIN THE FRAMEWORK OF THE EURASIAN ECONOMIC UNION (ON THE EXAMPLE OF THE SOUTHERN CUSTOMS ADMINISTRATION)</w:t>
      </w:r>
    </w:p>
    <w:p w14:paraId="1F2B7420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</w:p>
    <w:p w14:paraId="6112B60E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The article discusses the changes in the provisions of the </w:t>
      </w:r>
      <w:r>
        <w:rPr>
          <w:rFonts w:ascii="Times New Roman" w:hAnsi="Times New Roman"/>
          <w:sz w:val="24"/>
          <w:lang w:val="en-US"/>
        </w:rPr>
        <w:t>customs legislation of the Eurasian Economic Union and the Russian Federation on customs control after the release of goods, their significance is noted. The author conducted a comparative analysis of the performance indicators of customs control units aft</w:t>
      </w:r>
      <w:r>
        <w:rPr>
          <w:rFonts w:ascii="Times New Roman" w:hAnsi="Times New Roman"/>
          <w:sz w:val="24"/>
          <w:lang w:val="en-US"/>
        </w:rPr>
        <w:t>er the release of goods of the Southern Customs Administration for the period 2017 2018.</w:t>
      </w:r>
    </w:p>
    <w:p w14:paraId="25DF2D66" w14:textId="77777777" w:rsidR="00E60342" w:rsidRDefault="00E6034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lang w:val="en-US"/>
        </w:rPr>
      </w:pPr>
    </w:p>
    <w:p w14:paraId="7DDD749F" w14:textId="77777777" w:rsidR="00E60342" w:rsidRDefault="00692649">
      <w:pPr>
        <w:spacing w:after="0" w:line="240" w:lineRule="auto"/>
        <w:ind w:firstLine="709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b/>
          <w:i/>
          <w:sz w:val="24"/>
          <w:lang w:val="en-US"/>
        </w:rPr>
        <w:t>Keywords:</w:t>
      </w:r>
      <w:r>
        <w:rPr>
          <w:rFonts w:ascii="Times New Roman" w:hAnsi="Times New Roman"/>
          <w:sz w:val="24"/>
          <w:lang w:val="en-US"/>
        </w:rPr>
        <w:t xml:space="preserve"> customs control after the release of goods, the form of customs control, customs inspection, desk customs inspection, exit customs inspection, customs payme</w:t>
      </w:r>
      <w:r>
        <w:rPr>
          <w:rFonts w:ascii="Times New Roman" w:hAnsi="Times New Roman"/>
          <w:sz w:val="24"/>
          <w:lang w:val="en-US"/>
        </w:rPr>
        <w:t>nts.</w:t>
      </w:r>
    </w:p>
    <w:p w14:paraId="33CFFE69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4D5FC55B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E230B46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517466C1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7996CA5C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28DE19DE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B932998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07AFA528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785FA999" w14:textId="77777777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08FA4A05" w14:textId="7C49BAA8" w:rsidR="00E60342" w:rsidRDefault="00E60342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338AC035" w14:textId="6CFC90C9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304B5F90" w14:textId="569DEA8F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033C4239" w14:textId="39C5491E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092D785" w14:textId="7C62EF11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7A7A52A3" w14:textId="41C133F8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2BF39B92" w14:textId="3BA3E7C9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19FFE942" w14:textId="09A43749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7BE9A8BC" w14:textId="4DFB1D7F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35A76BE0" w14:textId="72E248F0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E1513D9" w14:textId="39A764FE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5DA332C" w14:textId="7EEA0316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7285569B" w14:textId="00585CA4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58E6BB72" w14:textId="26B1E347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1168DB02" w14:textId="7EA6A8C0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5AA4C376" w14:textId="7DEB6D7D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4BD45CA1" w14:textId="2CF26F05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6B99E72F" w14:textId="0A46E426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5CAB32D6" w14:textId="2ECA1BF4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1A9F1BD0" w14:textId="64FAA891" w:rsidR="00183B41" w:rsidRDefault="00183B41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</w:p>
    <w:p w14:paraId="4A8662B5" w14:textId="3F6500ED" w:rsidR="00183B41" w:rsidRDefault="00183B41" w:rsidP="00183B4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>
        <w:rPr>
          <w:rFonts w:ascii="Times New Roman" w:hAnsi="Times New Roman"/>
          <w:b/>
          <w:sz w:val="24"/>
        </w:rPr>
        <w:t>4</w:t>
      </w:r>
    </w:p>
    <w:p w14:paraId="7F21B0BE" w14:textId="525D5835" w:rsidR="00183B41" w:rsidRDefault="001E7739">
      <w:pPr>
        <w:spacing w:after="0"/>
        <w:ind w:firstLine="425"/>
        <w:jc w:val="both"/>
        <w:rPr>
          <w:rFonts w:ascii="Times New Roman" w:hAnsi="Times New Roman"/>
          <w:b/>
          <w:bCs/>
          <w:sz w:val="24"/>
          <w:lang w:val="en-US"/>
        </w:rPr>
      </w:pPr>
      <w:r>
        <w:rPr>
          <w:rFonts w:ascii="Times New Roman" w:hAnsi="Times New Roman"/>
          <w:b/>
          <w:bCs/>
          <w:noProof/>
          <w:sz w:val="24"/>
          <w:lang w:val="en-US"/>
        </w:rPr>
        <w:drawing>
          <wp:inline distT="0" distB="0" distL="0" distR="0" wp14:anchorId="077E7267" wp14:editId="7EB3CA1B">
            <wp:extent cx="6115050" cy="7524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3B41">
      <w:pgSz w:w="11906" w:h="16838"/>
      <w:pgMar w:top="1276" w:right="851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20000287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9664F"/>
    <w:multiLevelType w:val="multilevel"/>
    <w:tmpl w:val="7CEC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60748"/>
    <w:multiLevelType w:val="multilevel"/>
    <w:tmpl w:val="1A322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F3801"/>
    <w:multiLevelType w:val="multilevel"/>
    <w:tmpl w:val="7BFA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16E11"/>
    <w:multiLevelType w:val="multilevel"/>
    <w:tmpl w:val="859C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23DE1"/>
    <w:multiLevelType w:val="multilevel"/>
    <w:tmpl w:val="5CE2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D7D63"/>
    <w:multiLevelType w:val="multilevel"/>
    <w:tmpl w:val="2062A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C5474"/>
    <w:multiLevelType w:val="hybridMultilevel"/>
    <w:tmpl w:val="35320918"/>
    <w:lvl w:ilvl="0" w:tplc="20BAEE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850246C6" w:tentative="1">
      <w:start w:val="1"/>
      <w:numFmt w:val="lowerLetter"/>
      <w:lvlText w:val="%2."/>
      <w:lvlJc w:val="left"/>
      <w:pPr>
        <w:ind w:left="1440" w:hanging="360"/>
      </w:pPr>
    </w:lvl>
    <w:lvl w:ilvl="2" w:tplc="6BA4EF74" w:tentative="1">
      <w:start w:val="1"/>
      <w:numFmt w:val="lowerRoman"/>
      <w:lvlText w:val="%3."/>
      <w:lvlJc w:val="right"/>
      <w:pPr>
        <w:ind w:left="2160" w:hanging="180"/>
      </w:pPr>
    </w:lvl>
    <w:lvl w:ilvl="3" w:tplc="DCA42A4E" w:tentative="1">
      <w:start w:val="1"/>
      <w:numFmt w:val="decimal"/>
      <w:lvlText w:val="%4."/>
      <w:lvlJc w:val="left"/>
      <w:pPr>
        <w:ind w:left="2880" w:hanging="360"/>
      </w:pPr>
    </w:lvl>
    <w:lvl w:ilvl="4" w:tplc="78642326" w:tentative="1">
      <w:start w:val="1"/>
      <w:numFmt w:val="lowerLetter"/>
      <w:lvlText w:val="%5."/>
      <w:lvlJc w:val="left"/>
      <w:pPr>
        <w:ind w:left="3600" w:hanging="360"/>
      </w:pPr>
    </w:lvl>
    <w:lvl w:ilvl="5" w:tplc="B4768A2E" w:tentative="1">
      <w:start w:val="1"/>
      <w:numFmt w:val="lowerRoman"/>
      <w:lvlText w:val="%6."/>
      <w:lvlJc w:val="right"/>
      <w:pPr>
        <w:ind w:left="4320" w:hanging="180"/>
      </w:pPr>
    </w:lvl>
    <w:lvl w:ilvl="6" w:tplc="A6466014" w:tentative="1">
      <w:start w:val="1"/>
      <w:numFmt w:val="decimal"/>
      <w:lvlText w:val="%7."/>
      <w:lvlJc w:val="left"/>
      <w:pPr>
        <w:ind w:left="5040" w:hanging="360"/>
      </w:pPr>
    </w:lvl>
    <w:lvl w:ilvl="7" w:tplc="7730F278" w:tentative="1">
      <w:start w:val="1"/>
      <w:numFmt w:val="lowerLetter"/>
      <w:lvlText w:val="%8."/>
      <w:lvlJc w:val="left"/>
      <w:pPr>
        <w:ind w:left="5760" w:hanging="360"/>
      </w:pPr>
    </w:lvl>
    <w:lvl w:ilvl="8" w:tplc="855C9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87C72"/>
    <w:multiLevelType w:val="multilevel"/>
    <w:tmpl w:val="F708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5F3C25"/>
    <w:multiLevelType w:val="multilevel"/>
    <w:tmpl w:val="22A6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4570F"/>
    <w:multiLevelType w:val="multilevel"/>
    <w:tmpl w:val="4994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62A5F"/>
    <w:multiLevelType w:val="hybridMultilevel"/>
    <w:tmpl w:val="827C48DC"/>
    <w:lvl w:ilvl="0" w:tplc="808A9A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90EE71B0" w:tentative="1">
      <w:start w:val="1"/>
      <w:numFmt w:val="lowerLetter"/>
      <w:lvlText w:val="%2."/>
      <w:lvlJc w:val="left"/>
      <w:pPr>
        <w:ind w:left="1364" w:hanging="360"/>
      </w:pPr>
    </w:lvl>
    <w:lvl w:ilvl="2" w:tplc="0DF0EAFA" w:tentative="1">
      <w:start w:val="1"/>
      <w:numFmt w:val="lowerRoman"/>
      <w:lvlText w:val="%3."/>
      <w:lvlJc w:val="right"/>
      <w:pPr>
        <w:ind w:left="2084" w:hanging="180"/>
      </w:pPr>
    </w:lvl>
    <w:lvl w:ilvl="3" w:tplc="026C5038" w:tentative="1">
      <w:start w:val="1"/>
      <w:numFmt w:val="decimal"/>
      <w:lvlText w:val="%4."/>
      <w:lvlJc w:val="left"/>
      <w:pPr>
        <w:ind w:left="2804" w:hanging="360"/>
      </w:pPr>
    </w:lvl>
    <w:lvl w:ilvl="4" w:tplc="06904434" w:tentative="1">
      <w:start w:val="1"/>
      <w:numFmt w:val="lowerLetter"/>
      <w:lvlText w:val="%5."/>
      <w:lvlJc w:val="left"/>
      <w:pPr>
        <w:ind w:left="3524" w:hanging="360"/>
      </w:pPr>
    </w:lvl>
    <w:lvl w:ilvl="5" w:tplc="D1262E00" w:tentative="1">
      <w:start w:val="1"/>
      <w:numFmt w:val="lowerRoman"/>
      <w:lvlText w:val="%6."/>
      <w:lvlJc w:val="right"/>
      <w:pPr>
        <w:ind w:left="4244" w:hanging="180"/>
      </w:pPr>
    </w:lvl>
    <w:lvl w:ilvl="6" w:tplc="1DE2AAFC" w:tentative="1">
      <w:start w:val="1"/>
      <w:numFmt w:val="decimal"/>
      <w:lvlText w:val="%7."/>
      <w:lvlJc w:val="left"/>
      <w:pPr>
        <w:ind w:left="4964" w:hanging="360"/>
      </w:pPr>
    </w:lvl>
    <w:lvl w:ilvl="7" w:tplc="3920E764" w:tentative="1">
      <w:start w:val="1"/>
      <w:numFmt w:val="lowerLetter"/>
      <w:lvlText w:val="%8."/>
      <w:lvlJc w:val="left"/>
      <w:pPr>
        <w:ind w:left="5684" w:hanging="360"/>
      </w:pPr>
    </w:lvl>
    <w:lvl w:ilvl="8" w:tplc="8B4EBEE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D1E55FC"/>
    <w:multiLevelType w:val="multilevel"/>
    <w:tmpl w:val="FCB8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0F6D9F"/>
    <w:multiLevelType w:val="multilevel"/>
    <w:tmpl w:val="84A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7"/>
  </w:num>
  <w:num w:numId="8">
    <w:abstractNumId w:val="12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142"/>
    <w:rsid w:val="00003E30"/>
    <w:rsid w:val="00012143"/>
    <w:rsid w:val="00015700"/>
    <w:rsid w:val="00022951"/>
    <w:rsid w:val="00030C20"/>
    <w:rsid w:val="00031074"/>
    <w:rsid w:val="000345A8"/>
    <w:rsid w:val="000367A5"/>
    <w:rsid w:val="00037A16"/>
    <w:rsid w:val="00037F8B"/>
    <w:rsid w:val="00040B64"/>
    <w:rsid w:val="00043AA0"/>
    <w:rsid w:val="00047555"/>
    <w:rsid w:val="000604CF"/>
    <w:rsid w:val="000633FF"/>
    <w:rsid w:val="00065A3E"/>
    <w:rsid w:val="00075E4E"/>
    <w:rsid w:val="00087453"/>
    <w:rsid w:val="00096C96"/>
    <w:rsid w:val="000A0D2D"/>
    <w:rsid w:val="000A2A8D"/>
    <w:rsid w:val="000D1C94"/>
    <w:rsid w:val="000F5C3C"/>
    <w:rsid w:val="0010791F"/>
    <w:rsid w:val="001113DD"/>
    <w:rsid w:val="00156B74"/>
    <w:rsid w:val="00162336"/>
    <w:rsid w:val="0016662E"/>
    <w:rsid w:val="00183B41"/>
    <w:rsid w:val="001A2E66"/>
    <w:rsid w:val="001B0DA1"/>
    <w:rsid w:val="001C40BB"/>
    <w:rsid w:val="001E6B39"/>
    <w:rsid w:val="001E7739"/>
    <w:rsid w:val="0021459B"/>
    <w:rsid w:val="00234E25"/>
    <w:rsid w:val="002410D0"/>
    <w:rsid w:val="00250FAB"/>
    <w:rsid w:val="002734D6"/>
    <w:rsid w:val="00276080"/>
    <w:rsid w:val="002768FC"/>
    <w:rsid w:val="00295E74"/>
    <w:rsid w:val="002A06D5"/>
    <w:rsid w:val="002B2156"/>
    <w:rsid w:val="002F4CEC"/>
    <w:rsid w:val="002F6AD2"/>
    <w:rsid w:val="0031278A"/>
    <w:rsid w:val="00313DF1"/>
    <w:rsid w:val="00327284"/>
    <w:rsid w:val="003322E8"/>
    <w:rsid w:val="003323F9"/>
    <w:rsid w:val="00337318"/>
    <w:rsid w:val="0035219A"/>
    <w:rsid w:val="00362AF9"/>
    <w:rsid w:val="00363F17"/>
    <w:rsid w:val="003662AC"/>
    <w:rsid w:val="00367D83"/>
    <w:rsid w:val="00384910"/>
    <w:rsid w:val="003B774E"/>
    <w:rsid w:val="003D107B"/>
    <w:rsid w:val="003E26F3"/>
    <w:rsid w:val="00411A88"/>
    <w:rsid w:val="004127DB"/>
    <w:rsid w:val="00421F32"/>
    <w:rsid w:val="00422751"/>
    <w:rsid w:val="004436FD"/>
    <w:rsid w:val="00445CA7"/>
    <w:rsid w:val="00450FB6"/>
    <w:rsid w:val="00460600"/>
    <w:rsid w:val="00461FF3"/>
    <w:rsid w:val="004669DF"/>
    <w:rsid w:val="004704D1"/>
    <w:rsid w:val="00470C40"/>
    <w:rsid w:val="004739D2"/>
    <w:rsid w:val="0049594B"/>
    <w:rsid w:val="004A561F"/>
    <w:rsid w:val="004B3E3E"/>
    <w:rsid w:val="004B455F"/>
    <w:rsid w:val="004F71C3"/>
    <w:rsid w:val="005040C0"/>
    <w:rsid w:val="00514142"/>
    <w:rsid w:val="00535B59"/>
    <w:rsid w:val="00554A60"/>
    <w:rsid w:val="00567F4B"/>
    <w:rsid w:val="0059165F"/>
    <w:rsid w:val="00593B9A"/>
    <w:rsid w:val="005B027F"/>
    <w:rsid w:val="005D1BC7"/>
    <w:rsid w:val="005F72E4"/>
    <w:rsid w:val="006056D8"/>
    <w:rsid w:val="00611689"/>
    <w:rsid w:val="0062067A"/>
    <w:rsid w:val="00625E39"/>
    <w:rsid w:val="0063785A"/>
    <w:rsid w:val="00677D32"/>
    <w:rsid w:val="00683F6E"/>
    <w:rsid w:val="00690C15"/>
    <w:rsid w:val="00692649"/>
    <w:rsid w:val="0069691D"/>
    <w:rsid w:val="006A5F28"/>
    <w:rsid w:val="00703288"/>
    <w:rsid w:val="00710312"/>
    <w:rsid w:val="00771CB9"/>
    <w:rsid w:val="007A3801"/>
    <w:rsid w:val="007C1431"/>
    <w:rsid w:val="007C6DE9"/>
    <w:rsid w:val="007E2FF2"/>
    <w:rsid w:val="007F62D7"/>
    <w:rsid w:val="00802AB8"/>
    <w:rsid w:val="0081306E"/>
    <w:rsid w:val="00824074"/>
    <w:rsid w:val="008462F7"/>
    <w:rsid w:val="0085309A"/>
    <w:rsid w:val="00866DD2"/>
    <w:rsid w:val="0087529C"/>
    <w:rsid w:val="00876E16"/>
    <w:rsid w:val="008A5CCC"/>
    <w:rsid w:val="008B7F10"/>
    <w:rsid w:val="008E2AB2"/>
    <w:rsid w:val="008E4CE0"/>
    <w:rsid w:val="008F32D9"/>
    <w:rsid w:val="009014CC"/>
    <w:rsid w:val="00905080"/>
    <w:rsid w:val="00916377"/>
    <w:rsid w:val="009240FD"/>
    <w:rsid w:val="00924420"/>
    <w:rsid w:val="0093014F"/>
    <w:rsid w:val="009662EA"/>
    <w:rsid w:val="00974939"/>
    <w:rsid w:val="00983516"/>
    <w:rsid w:val="009C02E0"/>
    <w:rsid w:val="009C4C59"/>
    <w:rsid w:val="009D1058"/>
    <w:rsid w:val="009E6A01"/>
    <w:rsid w:val="009F1E6F"/>
    <w:rsid w:val="00A33D16"/>
    <w:rsid w:val="00A40FFE"/>
    <w:rsid w:val="00A54F43"/>
    <w:rsid w:val="00A66F6F"/>
    <w:rsid w:val="00A747FB"/>
    <w:rsid w:val="00A75EA8"/>
    <w:rsid w:val="00A86055"/>
    <w:rsid w:val="00A866DD"/>
    <w:rsid w:val="00A8760F"/>
    <w:rsid w:val="00A92B92"/>
    <w:rsid w:val="00A93CE7"/>
    <w:rsid w:val="00AA5769"/>
    <w:rsid w:val="00AC76E8"/>
    <w:rsid w:val="00AD0E46"/>
    <w:rsid w:val="00AD1CE9"/>
    <w:rsid w:val="00AE373C"/>
    <w:rsid w:val="00AE5B4A"/>
    <w:rsid w:val="00AE7EB0"/>
    <w:rsid w:val="00AF49C4"/>
    <w:rsid w:val="00B35449"/>
    <w:rsid w:val="00B51742"/>
    <w:rsid w:val="00B579A5"/>
    <w:rsid w:val="00B66A8F"/>
    <w:rsid w:val="00B72397"/>
    <w:rsid w:val="00B72A18"/>
    <w:rsid w:val="00B845AB"/>
    <w:rsid w:val="00BA1DAB"/>
    <w:rsid w:val="00BB6D84"/>
    <w:rsid w:val="00BD13EC"/>
    <w:rsid w:val="00BE2163"/>
    <w:rsid w:val="00BE5615"/>
    <w:rsid w:val="00BF6884"/>
    <w:rsid w:val="00C03BC6"/>
    <w:rsid w:val="00C10AFE"/>
    <w:rsid w:val="00C15AEB"/>
    <w:rsid w:val="00C2409B"/>
    <w:rsid w:val="00C32781"/>
    <w:rsid w:val="00C47136"/>
    <w:rsid w:val="00C613B8"/>
    <w:rsid w:val="00C72F56"/>
    <w:rsid w:val="00CB3D93"/>
    <w:rsid w:val="00CD53CA"/>
    <w:rsid w:val="00CE21DB"/>
    <w:rsid w:val="00D16D68"/>
    <w:rsid w:val="00D26B96"/>
    <w:rsid w:val="00D337D3"/>
    <w:rsid w:val="00D440EC"/>
    <w:rsid w:val="00D62762"/>
    <w:rsid w:val="00D80AC2"/>
    <w:rsid w:val="00D82ACC"/>
    <w:rsid w:val="00D9436B"/>
    <w:rsid w:val="00DD2B9E"/>
    <w:rsid w:val="00DD4833"/>
    <w:rsid w:val="00DD712A"/>
    <w:rsid w:val="00DE23F6"/>
    <w:rsid w:val="00DE7D2F"/>
    <w:rsid w:val="00E132B2"/>
    <w:rsid w:val="00E164E4"/>
    <w:rsid w:val="00E20A50"/>
    <w:rsid w:val="00E37CAD"/>
    <w:rsid w:val="00E5147B"/>
    <w:rsid w:val="00E60342"/>
    <w:rsid w:val="00E6708E"/>
    <w:rsid w:val="00E72884"/>
    <w:rsid w:val="00E93730"/>
    <w:rsid w:val="00E94031"/>
    <w:rsid w:val="00EA361A"/>
    <w:rsid w:val="00EC1794"/>
    <w:rsid w:val="00EC34B3"/>
    <w:rsid w:val="00ED000F"/>
    <w:rsid w:val="00F07D55"/>
    <w:rsid w:val="00F13D7B"/>
    <w:rsid w:val="00F345F3"/>
    <w:rsid w:val="00F35A68"/>
    <w:rsid w:val="00F41F90"/>
    <w:rsid w:val="00F431ED"/>
    <w:rsid w:val="00F46BEB"/>
    <w:rsid w:val="00F66B80"/>
    <w:rsid w:val="00FB461A"/>
    <w:rsid w:val="00FB6505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E97B4"/>
  <w15:docId w15:val="{D8E9E301-0BD2-49E6-BBC9-720058C3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semiHidden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7">
    <w:name w:val="Plain Text"/>
    <w:link w:val="af8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</w:style>
  <w:style w:type="character" w:customStyle="1" w:styleId="afc">
    <w:name w:val="Нижний колонтитул Знак"/>
    <w:link w:val="afb"/>
    <w:uiPriority w:val="99"/>
  </w:style>
  <w:style w:type="table" w:styleId="af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uiPriority w:val="22"/>
    <w:qFormat/>
    <w:rPr>
      <w:b/>
      <w:bCs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uiPriority w:val="99"/>
    <w:rPr>
      <w:rFonts w:eastAsiaTheme="minorHAnsi"/>
      <w:color w:val="000000"/>
      <w:sz w:val="24"/>
      <w:szCs w:val="24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Key-valueitem">
    <w:name w:val="Key-value__item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Key-valueitem-value">
    <w:name w:val="Key-value__item-value"/>
    <w:basedOn w:val="a0"/>
    <w:uiPriority w:val="99"/>
  </w:style>
  <w:style w:type="character" w:customStyle="1" w:styleId="Cut2visible">
    <w:name w:val="Cut2__visible"/>
    <w:basedOn w:val="a0"/>
    <w:uiPriority w:val="99"/>
  </w:style>
  <w:style w:type="character" w:customStyle="1" w:styleId="Link">
    <w:name w:val="Link"/>
    <w:basedOn w:val="a0"/>
    <w:uiPriority w:val="99"/>
  </w:style>
  <w:style w:type="character" w:customStyle="1" w:styleId="30">
    <w:name w:val="Заголовок 3 Знак"/>
    <w:basedOn w:val="a0"/>
    <w:link w:val="3"/>
    <w:uiPriority w:val="9"/>
    <w:rPr>
      <w:b/>
      <w:bCs/>
      <w:sz w:val="27"/>
      <w:szCs w:val="27"/>
    </w:rPr>
  </w:style>
  <w:style w:type="paragraph" w:customStyle="1" w:styleId="Pag">
    <w:name w:val="Pag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cut2">
    <w:name w:val="Text-cut2"/>
    <w:basedOn w:val="a0"/>
    <w:uiPriority w:val="99"/>
  </w:style>
  <w:style w:type="character" w:customStyle="1" w:styleId="Metro">
    <w:name w:val="Metro"/>
    <w:basedOn w:val="a0"/>
    <w:uiPriority w:val="99"/>
  </w:style>
  <w:style w:type="paragraph" w:styleId="aff0">
    <w:name w:val="Balloon Text"/>
    <w:basedOn w:val="a"/>
    <w:link w:val="aff1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rPr>
      <w:rFonts w:ascii="Tahoma" w:eastAsia="Calibri" w:hAnsi="Tahoma" w:cs="Tahoma"/>
      <w:sz w:val="16"/>
      <w:szCs w:val="16"/>
      <w:lang w:eastAsia="en-US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31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3">
    <w:name w:val="caption"/>
    <w:basedOn w:val="a"/>
    <w:uiPriority w:val="99"/>
    <w:unhideWhenUsed/>
    <w:qFormat/>
    <w:pPr>
      <w:spacing w:after="0" w:line="240" w:lineRule="auto"/>
      <w:ind w:right="-386"/>
      <w:jc w:val="center"/>
    </w:pPr>
    <w:rPr>
      <w:rFonts w:ascii="Courier New" w:eastAsia="Times New Roman" w:hAnsi="Courier New"/>
      <w:b/>
      <w:sz w:val="40"/>
      <w:szCs w:val="20"/>
      <w:lang w:eastAsia="ru-RU"/>
    </w:rPr>
  </w:style>
  <w:style w:type="character" w:styleId="aff4">
    <w:name w:val="Unresolved Mention"/>
    <w:basedOn w:val="a0"/>
    <w:uiPriority w:val="99"/>
    <w:semiHidden/>
    <w:unhideWhenUsed/>
    <w:rsid w:val="00924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6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der-id.ru/events/6184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yutu.custom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avo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2018\&#1050;&#1040;&#1051;&#1052;&#1067;&#1050;&#1054;&#1042;%2016\&#1053;&#1048;&#1056;&#1057;\2017\&#1082;&#1088;&#1091;&#1075;&#1083;&#1099;&#1081;%20&#1089;&#1090;&#1086;&#1083;%20&#1089;%20&#1053;&#1086;&#1074;&#1086;&#1089;&#1080;&#1073;&#1080;&#1088;&#1089;&#1082;&#1086;&#1081;%20&#1090;&#1072;&#1084;&#1086;&#1078;&#1085;&#1077;&#1081;\&#1064;&#1072;&#1073;&#1083;&#1086;&#1085;%20&#1076;&#1083;&#1103;%20&#1087;&#1080;&#1089;&#1100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062E7-8034-483C-85D1-A5E04BFD3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письма</Template>
  <TotalTime>33</TotalTime>
  <Pages>10</Pages>
  <Words>2947</Words>
  <Characters>16803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СГУПС</Company>
  <LinksUpToDate>false</LinksUpToDate>
  <CharactersWithSpaces>19711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Александровна Ковалева</cp:lastModifiedBy>
  <cp:revision>33</cp:revision>
  <dcterms:created xsi:type="dcterms:W3CDTF">2026-09-29T08:29:00Z</dcterms:created>
  <dcterms:modified xsi:type="dcterms:W3CDTF">2026-09-29T09:10:00Z</dcterms:modified>
</cp:coreProperties>
</file>