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9B" w:rsidRPr="00015456" w:rsidRDefault="00252E9B" w:rsidP="00252E9B">
      <w:pPr>
        <w:jc w:val="center"/>
        <w:rPr>
          <w:b/>
          <w:bCs/>
          <w:sz w:val="28"/>
          <w:szCs w:val="28"/>
        </w:rPr>
      </w:pPr>
      <w:r w:rsidRPr="00015456">
        <w:rPr>
          <w:b/>
          <w:bCs/>
          <w:sz w:val="28"/>
          <w:szCs w:val="28"/>
        </w:rPr>
        <w:t>Министерство науки и высшего образования РФ</w:t>
      </w:r>
    </w:p>
    <w:p w:rsidR="00252E9B" w:rsidRPr="00015456" w:rsidRDefault="00252E9B" w:rsidP="00252E9B">
      <w:pPr>
        <w:pStyle w:val="a3"/>
        <w:jc w:val="center"/>
        <w:rPr>
          <w:sz w:val="28"/>
          <w:szCs w:val="28"/>
        </w:rPr>
      </w:pPr>
      <w:r w:rsidRPr="00015456">
        <w:rPr>
          <w:sz w:val="28"/>
          <w:szCs w:val="28"/>
        </w:rPr>
        <w:t>ФГБОУ ВО Иркутский национальный исследовательский технический университет</w:t>
      </w:r>
    </w:p>
    <w:p w:rsidR="00252E9B" w:rsidRPr="00015456" w:rsidRDefault="00252E9B" w:rsidP="00252E9B">
      <w:pPr>
        <w:pStyle w:val="a3"/>
        <w:jc w:val="center"/>
        <w:rPr>
          <w:sz w:val="28"/>
          <w:szCs w:val="28"/>
        </w:rPr>
      </w:pPr>
      <w:r w:rsidRPr="00015456">
        <w:rPr>
          <w:sz w:val="28"/>
          <w:szCs w:val="28"/>
        </w:rPr>
        <w:t>Институт энергетики</w:t>
      </w:r>
    </w:p>
    <w:p w:rsidR="00252E9B" w:rsidRPr="00015456" w:rsidRDefault="00252E9B" w:rsidP="00252E9B">
      <w:pPr>
        <w:jc w:val="center"/>
        <w:rPr>
          <w:b/>
          <w:bCs/>
          <w:sz w:val="28"/>
          <w:szCs w:val="28"/>
        </w:rPr>
      </w:pPr>
      <w:r w:rsidRPr="00015456">
        <w:rPr>
          <w:b/>
          <w:bCs/>
          <w:sz w:val="28"/>
          <w:szCs w:val="28"/>
        </w:rPr>
        <w:t xml:space="preserve">Корпоративный учебно-исследовательский центр ПАО «Иркутскэнерго» - ИРНИТУ  </w:t>
      </w:r>
    </w:p>
    <w:p w:rsidR="00252E9B" w:rsidRPr="00015456" w:rsidRDefault="00252E9B" w:rsidP="00252E9B">
      <w:pPr>
        <w:jc w:val="center"/>
        <w:rPr>
          <w:b/>
          <w:bCs/>
          <w:sz w:val="28"/>
          <w:szCs w:val="28"/>
        </w:rPr>
      </w:pPr>
      <w:r w:rsidRPr="00015456">
        <w:rPr>
          <w:b/>
          <w:bCs/>
          <w:sz w:val="28"/>
          <w:szCs w:val="28"/>
        </w:rPr>
        <w:t xml:space="preserve">ФГБУН Институт систем энергетики </w:t>
      </w:r>
    </w:p>
    <w:p w:rsidR="00252E9B" w:rsidRPr="00015456" w:rsidRDefault="00252E9B" w:rsidP="00252E9B">
      <w:pPr>
        <w:jc w:val="center"/>
        <w:rPr>
          <w:b/>
          <w:bCs/>
          <w:sz w:val="28"/>
          <w:szCs w:val="28"/>
        </w:rPr>
      </w:pPr>
      <w:r w:rsidRPr="00015456">
        <w:rPr>
          <w:b/>
          <w:bCs/>
          <w:sz w:val="28"/>
          <w:szCs w:val="28"/>
        </w:rPr>
        <w:t xml:space="preserve">им. Л.А. Мелентьева СО РАН </w:t>
      </w:r>
    </w:p>
    <w:p w:rsidR="00252E9B" w:rsidRPr="00015456" w:rsidRDefault="00252E9B" w:rsidP="00252E9B">
      <w:pPr>
        <w:jc w:val="right"/>
        <w:rPr>
          <w:b/>
          <w:sz w:val="28"/>
          <w:szCs w:val="28"/>
        </w:rPr>
      </w:pPr>
    </w:p>
    <w:p w:rsidR="00252E9B" w:rsidRDefault="00252E9B" w:rsidP="00252E9B">
      <w:pPr>
        <w:jc w:val="right"/>
        <w:rPr>
          <w:b/>
          <w:i/>
          <w:sz w:val="28"/>
          <w:szCs w:val="28"/>
        </w:rPr>
      </w:pPr>
    </w:p>
    <w:p w:rsidR="00015456" w:rsidRDefault="00015456" w:rsidP="00252E9B">
      <w:pPr>
        <w:jc w:val="right"/>
        <w:rPr>
          <w:b/>
          <w:i/>
          <w:sz w:val="28"/>
          <w:szCs w:val="28"/>
        </w:rPr>
      </w:pPr>
    </w:p>
    <w:p w:rsidR="00015456" w:rsidRDefault="00015456" w:rsidP="00252E9B">
      <w:pPr>
        <w:jc w:val="right"/>
        <w:rPr>
          <w:b/>
          <w:i/>
          <w:sz w:val="28"/>
          <w:szCs w:val="28"/>
        </w:rPr>
      </w:pPr>
    </w:p>
    <w:p w:rsidR="00015456" w:rsidRDefault="00015456" w:rsidP="00252E9B">
      <w:pPr>
        <w:jc w:val="right"/>
        <w:rPr>
          <w:b/>
          <w:i/>
          <w:sz w:val="28"/>
          <w:szCs w:val="28"/>
        </w:rPr>
      </w:pPr>
    </w:p>
    <w:p w:rsidR="00015456" w:rsidRPr="00015456" w:rsidRDefault="00015456" w:rsidP="00252E9B">
      <w:pPr>
        <w:jc w:val="right"/>
        <w:rPr>
          <w:b/>
          <w:i/>
          <w:sz w:val="28"/>
          <w:szCs w:val="28"/>
        </w:rPr>
      </w:pPr>
    </w:p>
    <w:p w:rsidR="00252E9B" w:rsidRPr="00015456" w:rsidRDefault="00252E9B" w:rsidP="00252E9B">
      <w:pPr>
        <w:jc w:val="right"/>
        <w:rPr>
          <w:b/>
          <w:i/>
          <w:sz w:val="28"/>
          <w:szCs w:val="28"/>
        </w:rPr>
      </w:pPr>
    </w:p>
    <w:p w:rsidR="00252E9B" w:rsidRPr="00015456" w:rsidRDefault="00CD1D76" w:rsidP="00252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Региональная</w:t>
      </w:r>
    </w:p>
    <w:p w:rsidR="00252E9B" w:rsidRPr="00015456" w:rsidRDefault="00252E9B" w:rsidP="00CD1D76">
      <w:pPr>
        <w:jc w:val="center"/>
        <w:rPr>
          <w:b/>
          <w:sz w:val="28"/>
          <w:szCs w:val="28"/>
        </w:rPr>
      </w:pPr>
      <w:r w:rsidRPr="00015456">
        <w:rPr>
          <w:b/>
          <w:sz w:val="28"/>
          <w:szCs w:val="28"/>
        </w:rPr>
        <w:t xml:space="preserve">научно-практическая конференция </w:t>
      </w:r>
    </w:p>
    <w:p w:rsidR="00252E9B" w:rsidRPr="00015456" w:rsidRDefault="00252E9B" w:rsidP="00252E9B">
      <w:pPr>
        <w:jc w:val="center"/>
        <w:rPr>
          <w:rFonts w:ascii="Arial Black" w:hAnsi="Arial Black"/>
          <w:sz w:val="28"/>
          <w:szCs w:val="28"/>
        </w:rPr>
      </w:pPr>
      <w:r w:rsidRPr="00015456">
        <w:rPr>
          <w:rFonts w:ascii="Arial Black" w:hAnsi="Arial Black"/>
          <w:sz w:val="28"/>
          <w:szCs w:val="28"/>
        </w:rPr>
        <w:t>«</w:t>
      </w:r>
      <w:r w:rsidRPr="00015456">
        <w:rPr>
          <w:b/>
          <w:sz w:val="28"/>
          <w:szCs w:val="28"/>
        </w:rPr>
        <w:t>Технико-экономические проблемы развития регионов</w:t>
      </w:r>
      <w:r w:rsidRPr="00015456">
        <w:rPr>
          <w:rFonts w:ascii="Arial Black" w:hAnsi="Arial Black"/>
          <w:sz w:val="28"/>
          <w:szCs w:val="28"/>
        </w:rPr>
        <w:t>»</w:t>
      </w:r>
    </w:p>
    <w:p w:rsidR="00252E9B" w:rsidRDefault="00252E9B" w:rsidP="00252E9B">
      <w:pPr>
        <w:jc w:val="center"/>
        <w:rPr>
          <w:rFonts w:ascii="Arial Black" w:hAnsi="Arial Black"/>
          <w:sz w:val="28"/>
          <w:szCs w:val="28"/>
        </w:rPr>
      </w:pPr>
    </w:p>
    <w:p w:rsidR="00CD1D76" w:rsidRPr="00015456" w:rsidRDefault="00CD1D76" w:rsidP="00252E9B">
      <w:pPr>
        <w:jc w:val="center"/>
        <w:rPr>
          <w:rFonts w:ascii="Arial Black" w:hAnsi="Arial Black"/>
          <w:sz w:val="28"/>
          <w:szCs w:val="28"/>
        </w:rPr>
      </w:pPr>
    </w:p>
    <w:p w:rsidR="00252E9B" w:rsidRPr="00015456" w:rsidRDefault="00252E9B" w:rsidP="00252E9B">
      <w:pPr>
        <w:jc w:val="center"/>
        <w:rPr>
          <w:sz w:val="28"/>
          <w:szCs w:val="28"/>
        </w:rPr>
      </w:pPr>
      <w:r w:rsidRPr="00015456">
        <w:rPr>
          <w:noProof/>
          <w:sz w:val="28"/>
          <w:szCs w:val="28"/>
        </w:rPr>
        <w:drawing>
          <wp:inline distT="0" distB="0" distL="0" distR="0" wp14:anchorId="6BB702EE" wp14:editId="66F854A0">
            <wp:extent cx="1533525" cy="1905000"/>
            <wp:effectExtent l="0" t="0" r="9525" b="0"/>
            <wp:docPr id="1" name="Рисунок 1" descr="последни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дний вари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E9B" w:rsidRPr="00015456" w:rsidRDefault="00252E9B" w:rsidP="00252E9B">
      <w:pPr>
        <w:jc w:val="center"/>
        <w:rPr>
          <w:sz w:val="28"/>
          <w:szCs w:val="28"/>
        </w:rPr>
      </w:pPr>
    </w:p>
    <w:p w:rsidR="00252E9B" w:rsidRDefault="00252E9B" w:rsidP="00252E9B">
      <w:pPr>
        <w:jc w:val="center"/>
        <w:rPr>
          <w:sz w:val="28"/>
          <w:szCs w:val="28"/>
        </w:rPr>
      </w:pPr>
    </w:p>
    <w:p w:rsidR="00015456" w:rsidRDefault="00015456" w:rsidP="00252E9B">
      <w:pPr>
        <w:jc w:val="center"/>
        <w:rPr>
          <w:sz w:val="28"/>
          <w:szCs w:val="28"/>
        </w:rPr>
      </w:pPr>
    </w:p>
    <w:p w:rsidR="00015456" w:rsidRDefault="00015456" w:rsidP="00252E9B">
      <w:pPr>
        <w:jc w:val="center"/>
        <w:rPr>
          <w:sz w:val="28"/>
          <w:szCs w:val="28"/>
        </w:rPr>
      </w:pPr>
    </w:p>
    <w:p w:rsidR="00015456" w:rsidRDefault="00015456" w:rsidP="00252E9B">
      <w:pPr>
        <w:jc w:val="center"/>
        <w:rPr>
          <w:sz w:val="28"/>
          <w:szCs w:val="28"/>
        </w:rPr>
      </w:pPr>
    </w:p>
    <w:p w:rsidR="00015456" w:rsidRDefault="00015456" w:rsidP="00252E9B">
      <w:pPr>
        <w:jc w:val="center"/>
        <w:rPr>
          <w:sz w:val="28"/>
          <w:szCs w:val="28"/>
        </w:rPr>
      </w:pPr>
    </w:p>
    <w:p w:rsidR="00015456" w:rsidRDefault="00015456" w:rsidP="00252E9B">
      <w:pPr>
        <w:jc w:val="center"/>
        <w:rPr>
          <w:sz w:val="28"/>
          <w:szCs w:val="28"/>
        </w:rPr>
      </w:pPr>
    </w:p>
    <w:p w:rsidR="00015456" w:rsidRDefault="00015456" w:rsidP="00252E9B">
      <w:pPr>
        <w:jc w:val="center"/>
        <w:rPr>
          <w:sz w:val="28"/>
          <w:szCs w:val="28"/>
        </w:rPr>
      </w:pPr>
    </w:p>
    <w:p w:rsidR="00015456" w:rsidRDefault="00015456" w:rsidP="00252E9B">
      <w:pPr>
        <w:jc w:val="center"/>
        <w:rPr>
          <w:sz w:val="28"/>
          <w:szCs w:val="28"/>
        </w:rPr>
      </w:pPr>
    </w:p>
    <w:p w:rsidR="00015456" w:rsidRDefault="00015456" w:rsidP="00252E9B">
      <w:pPr>
        <w:jc w:val="center"/>
        <w:rPr>
          <w:sz w:val="28"/>
          <w:szCs w:val="28"/>
        </w:rPr>
      </w:pPr>
    </w:p>
    <w:p w:rsidR="00015456" w:rsidRDefault="00015456" w:rsidP="00252E9B">
      <w:pPr>
        <w:jc w:val="center"/>
        <w:rPr>
          <w:sz w:val="28"/>
          <w:szCs w:val="28"/>
        </w:rPr>
      </w:pPr>
    </w:p>
    <w:p w:rsidR="00015456" w:rsidRPr="00015456" w:rsidRDefault="00015456" w:rsidP="00252E9B">
      <w:pPr>
        <w:jc w:val="center"/>
        <w:rPr>
          <w:sz w:val="28"/>
          <w:szCs w:val="28"/>
        </w:rPr>
      </w:pPr>
    </w:p>
    <w:p w:rsidR="00252E9B" w:rsidRPr="00015456" w:rsidRDefault="00677ED8" w:rsidP="00252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47AA1">
        <w:rPr>
          <w:b/>
          <w:sz w:val="28"/>
          <w:szCs w:val="28"/>
        </w:rPr>
        <w:t>6</w:t>
      </w:r>
      <w:r w:rsidR="00685EAE">
        <w:rPr>
          <w:b/>
          <w:sz w:val="28"/>
          <w:szCs w:val="28"/>
        </w:rPr>
        <w:t xml:space="preserve"> декабря</w:t>
      </w:r>
      <w:r>
        <w:rPr>
          <w:b/>
          <w:sz w:val="28"/>
          <w:szCs w:val="28"/>
        </w:rPr>
        <w:t xml:space="preserve"> 202</w:t>
      </w:r>
      <w:r w:rsidR="00685EAE">
        <w:rPr>
          <w:b/>
          <w:sz w:val="28"/>
          <w:szCs w:val="28"/>
        </w:rPr>
        <w:t>2</w:t>
      </w:r>
      <w:r w:rsidR="00252E9B" w:rsidRPr="00015456">
        <w:rPr>
          <w:b/>
          <w:sz w:val="28"/>
          <w:szCs w:val="28"/>
        </w:rPr>
        <w:t xml:space="preserve"> г.</w:t>
      </w:r>
    </w:p>
    <w:p w:rsidR="00252E9B" w:rsidRPr="00015456" w:rsidRDefault="00252E9B" w:rsidP="00252E9B">
      <w:pPr>
        <w:jc w:val="center"/>
        <w:rPr>
          <w:b/>
          <w:sz w:val="28"/>
          <w:szCs w:val="28"/>
        </w:rPr>
      </w:pPr>
      <w:r w:rsidRPr="00015456">
        <w:rPr>
          <w:b/>
          <w:sz w:val="28"/>
          <w:szCs w:val="28"/>
        </w:rPr>
        <w:t>г. Иркутск</w:t>
      </w:r>
    </w:p>
    <w:p w:rsidR="00CD1D76" w:rsidRDefault="00CD1D76" w:rsidP="00015456">
      <w:pPr>
        <w:jc w:val="center"/>
        <w:rPr>
          <w:b/>
        </w:rPr>
      </w:pPr>
    </w:p>
    <w:p w:rsidR="00015456" w:rsidRPr="000E7C4B" w:rsidRDefault="00015456" w:rsidP="00015456">
      <w:pPr>
        <w:jc w:val="center"/>
        <w:rPr>
          <w:b/>
        </w:rPr>
      </w:pPr>
      <w:r w:rsidRPr="000E7C4B">
        <w:rPr>
          <w:b/>
        </w:rPr>
        <w:lastRenderedPageBreak/>
        <w:t>Оргкомитет</w:t>
      </w:r>
    </w:p>
    <w:p w:rsidR="00015456" w:rsidRPr="000E7C4B" w:rsidRDefault="00015456" w:rsidP="00015456">
      <w:pPr>
        <w:jc w:val="center"/>
        <w:rPr>
          <w:b/>
        </w:rPr>
      </w:pPr>
    </w:p>
    <w:p w:rsidR="00015456" w:rsidRPr="000E7C4B" w:rsidRDefault="007C61E2" w:rsidP="005F3204">
      <w:pPr>
        <w:ind w:firstLine="709"/>
        <w:jc w:val="both"/>
      </w:pPr>
      <w:r>
        <w:t>Региональная</w:t>
      </w:r>
      <w:r w:rsidR="00015456" w:rsidRPr="000E7C4B">
        <w:t xml:space="preserve"> нау</w:t>
      </w:r>
      <w:r>
        <w:t xml:space="preserve">чно-практической конференции </w:t>
      </w:r>
      <w:r w:rsidR="00015456" w:rsidRPr="000E7C4B">
        <w:rPr>
          <w:b/>
          <w:bCs/>
        </w:rPr>
        <w:t>«</w:t>
      </w:r>
      <w:r w:rsidR="00015456" w:rsidRPr="000E7C4B">
        <w:rPr>
          <w:b/>
        </w:rPr>
        <w:t>Технико-экономические проблемы развития регионов</w:t>
      </w:r>
      <w:r w:rsidR="00015456" w:rsidRPr="000E7C4B">
        <w:rPr>
          <w:b/>
          <w:bCs/>
        </w:rPr>
        <w:t xml:space="preserve">» </w:t>
      </w:r>
      <w:r w:rsidR="00015456" w:rsidRPr="000E7C4B">
        <w:t xml:space="preserve">приглашает </w:t>
      </w:r>
      <w:proofErr w:type="gramStart"/>
      <w:r w:rsidR="00015456" w:rsidRPr="000E7C4B">
        <w:t>Вас  принять</w:t>
      </w:r>
      <w:proofErr w:type="gramEnd"/>
      <w:r w:rsidR="00015456" w:rsidRPr="000E7C4B">
        <w:t xml:space="preserve">  участие  в</w:t>
      </w:r>
      <w:r w:rsidR="005F3204">
        <w:t xml:space="preserve"> ее </w:t>
      </w:r>
      <w:r w:rsidR="00015456" w:rsidRPr="000E7C4B">
        <w:t xml:space="preserve"> работе</w:t>
      </w:r>
      <w:r w:rsidR="005F3204">
        <w:t xml:space="preserve"> конференции.</w:t>
      </w:r>
    </w:p>
    <w:p w:rsidR="00015456" w:rsidRPr="000E7C4B" w:rsidRDefault="00677ED8" w:rsidP="005F3204">
      <w:pPr>
        <w:ind w:firstLine="709"/>
        <w:jc w:val="both"/>
      </w:pPr>
      <w:r>
        <w:t>Конференция проводится  2</w:t>
      </w:r>
      <w:r w:rsidR="00347AA1">
        <w:t>6</w:t>
      </w:r>
      <w:r w:rsidR="00685EAE">
        <w:t xml:space="preserve"> декабря 2022</w:t>
      </w:r>
      <w:r w:rsidR="00015456" w:rsidRPr="000E7C4B">
        <w:t xml:space="preserve"> г.</w:t>
      </w:r>
    </w:p>
    <w:p w:rsidR="00015456" w:rsidRPr="000E7C4B" w:rsidRDefault="00015456" w:rsidP="00015456">
      <w:pPr>
        <w:ind w:firstLine="708"/>
        <w:jc w:val="both"/>
      </w:pPr>
      <w:r w:rsidRPr="000E7C4B">
        <w:t>В конференции планируется участие специалистов ведущих ВУЗов СФО и крупнейших предприятий Сибири и Дальнего Востока, Института систем энергетики им. Л.А. Мелентьева СО РАН, ПАО «Иркутскэнерго», Корпоративного учебно-исследовательского центра ПАО «Иркутскэнерго» – ИРНИТУ.</w:t>
      </w:r>
    </w:p>
    <w:p w:rsidR="00015456" w:rsidRPr="000E7C4B" w:rsidRDefault="00015456" w:rsidP="00015456">
      <w:pPr>
        <w:ind w:left="2977" w:hanging="2693"/>
        <w:jc w:val="both"/>
        <w:rPr>
          <w:b/>
        </w:rPr>
      </w:pPr>
    </w:p>
    <w:p w:rsidR="000E7C4B" w:rsidRDefault="000E7C4B" w:rsidP="00015456">
      <w:pPr>
        <w:pStyle w:val="7"/>
        <w:rPr>
          <w:sz w:val="24"/>
        </w:rPr>
      </w:pPr>
    </w:p>
    <w:p w:rsidR="000E7C4B" w:rsidRPr="000E7C4B" w:rsidRDefault="000E7C4B" w:rsidP="000E7C4B"/>
    <w:p w:rsidR="00015456" w:rsidRPr="000E7C4B" w:rsidRDefault="00015456" w:rsidP="00015456">
      <w:pPr>
        <w:pStyle w:val="7"/>
        <w:rPr>
          <w:sz w:val="24"/>
        </w:rPr>
      </w:pPr>
      <w:r w:rsidRPr="000E7C4B">
        <w:rPr>
          <w:sz w:val="24"/>
        </w:rPr>
        <w:t xml:space="preserve">Научные направления </w:t>
      </w:r>
    </w:p>
    <w:p w:rsidR="00015456" w:rsidRPr="000E7C4B" w:rsidRDefault="00015456" w:rsidP="00015456">
      <w:pPr>
        <w:pStyle w:val="7"/>
        <w:rPr>
          <w:sz w:val="24"/>
        </w:rPr>
      </w:pPr>
      <w:r w:rsidRPr="000E7C4B">
        <w:rPr>
          <w:sz w:val="24"/>
        </w:rPr>
        <w:t>работы конференции</w:t>
      </w:r>
    </w:p>
    <w:p w:rsidR="00015456" w:rsidRPr="000E7C4B" w:rsidRDefault="00015456" w:rsidP="00015456"/>
    <w:p w:rsidR="00015456" w:rsidRPr="000E7C4B" w:rsidRDefault="00015456" w:rsidP="00015456">
      <w:pPr>
        <w:numPr>
          <w:ilvl w:val="0"/>
          <w:numId w:val="1"/>
        </w:numPr>
        <w:jc w:val="both"/>
        <w:rPr>
          <w:bCs/>
        </w:rPr>
      </w:pPr>
      <w:r w:rsidRPr="000E7C4B">
        <w:rPr>
          <w:bCs/>
        </w:rPr>
        <w:t>Исследование  и оптимизация электромеханических систем в промышленности и на транспорте.</w:t>
      </w:r>
    </w:p>
    <w:p w:rsidR="00015456" w:rsidRPr="000E7C4B" w:rsidRDefault="00015456" w:rsidP="00015456">
      <w:pPr>
        <w:jc w:val="both"/>
        <w:rPr>
          <w:bCs/>
        </w:rPr>
      </w:pPr>
      <w:r w:rsidRPr="000E7C4B">
        <w:rPr>
          <w:bCs/>
        </w:rPr>
        <w:t xml:space="preserve">2. </w:t>
      </w:r>
      <w:r w:rsidR="005F3204">
        <w:rPr>
          <w:bCs/>
        </w:rPr>
        <w:t xml:space="preserve"> </w:t>
      </w:r>
      <w:r w:rsidRPr="000E7C4B">
        <w:rPr>
          <w:bCs/>
        </w:rPr>
        <w:t>Производство, распределение и использование электрической энергии</w:t>
      </w:r>
      <w:r w:rsidR="005F3204">
        <w:rPr>
          <w:bCs/>
        </w:rPr>
        <w:t>.</w:t>
      </w:r>
      <w:r w:rsidRPr="000E7C4B">
        <w:rPr>
          <w:bCs/>
        </w:rPr>
        <w:t xml:space="preserve"> </w:t>
      </w:r>
    </w:p>
    <w:p w:rsidR="00015456" w:rsidRPr="000E7C4B" w:rsidRDefault="00015456" w:rsidP="00015456">
      <w:pPr>
        <w:jc w:val="both"/>
        <w:rPr>
          <w:bCs/>
        </w:rPr>
      </w:pPr>
      <w:r w:rsidRPr="000E7C4B">
        <w:rPr>
          <w:bCs/>
        </w:rPr>
        <w:t xml:space="preserve">3. </w:t>
      </w:r>
      <w:proofErr w:type="spellStart"/>
      <w:r w:rsidRPr="000E7C4B">
        <w:rPr>
          <w:bCs/>
        </w:rPr>
        <w:t>Энерго</w:t>
      </w:r>
      <w:proofErr w:type="spellEnd"/>
      <w:r w:rsidRPr="000E7C4B">
        <w:rPr>
          <w:bCs/>
        </w:rPr>
        <w:t>- и ресурсосбережение в энергетическом, промышленном и жилищно-коммунальном комплексах.</w:t>
      </w:r>
    </w:p>
    <w:p w:rsidR="00015456" w:rsidRPr="000E7C4B" w:rsidRDefault="00015456" w:rsidP="00015456">
      <w:pPr>
        <w:jc w:val="both"/>
        <w:rPr>
          <w:bCs/>
        </w:rPr>
      </w:pPr>
      <w:r w:rsidRPr="000E7C4B">
        <w:rPr>
          <w:bCs/>
        </w:rPr>
        <w:t xml:space="preserve">4. </w:t>
      </w:r>
      <w:r w:rsidR="005F3204">
        <w:rPr>
          <w:bCs/>
        </w:rPr>
        <w:t xml:space="preserve"> </w:t>
      </w:r>
      <w:r w:rsidRPr="000E7C4B">
        <w:rPr>
          <w:bCs/>
        </w:rPr>
        <w:t>Экономические проблемы развития региона.</w:t>
      </w:r>
    </w:p>
    <w:p w:rsidR="00015456" w:rsidRPr="000E7C4B" w:rsidRDefault="00015456" w:rsidP="00015456">
      <w:pPr>
        <w:ind w:firstLine="426"/>
        <w:jc w:val="both"/>
      </w:pPr>
      <w:r w:rsidRPr="000E7C4B">
        <w:t>Запланировано издание материалов конференции, которые индексируются в РИНЦ при соблюдении установленных правил публикации и цитирования.</w:t>
      </w:r>
    </w:p>
    <w:p w:rsidR="00015456" w:rsidRPr="000E7C4B" w:rsidRDefault="00015456" w:rsidP="00015456">
      <w:pPr>
        <w:ind w:firstLine="426"/>
        <w:jc w:val="both"/>
      </w:pPr>
    </w:p>
    <w:p w:rsidR="00015456" w:rsidRPr="000E7C4B" w:rsidRDefault="00015456" w:rsidP="00015456">
      <w:pPr>
        <w:ind w:firstLine="426"/>
        <w:jc w:val="both"/>
      </w:pPr>
      <w:r w:rsidRPr="000E7C4B">
        <w:t>Для включения доклада в программу конференции не</w:t>
      </w:r>
      <w:r w:rsidR="00685EAE">
        <w:t>обходимо  в срок до 25</w:t>
      </w:r>
      <w:r w:rsidR="00347AA1">
        <w:t xml:space="preserve"> </w:t>
      </w:r>
      <w:r w:rsidR="00685EAE">
        <w:t>но</w:t>
      </w:r>
      <w:r w:rsidR="00347AA1">
        <w:t>ября 202</w:t>
      </w:r>
      <w:r w:rsidR="00685EAE">
        <w:t>2</w:t>
      </w:r>
      <w:r w:rsidRPr="000E7C4B">
        <w:t xml:space="preserve"> года направить по электронному адресу оргкомитета конференции:</w:t>
      </w:r>
    </w:p>
    <w:p w:rsidR="00015456" w:rsidRPr="000E7C4B" w:rsidRDefault="00015456" w:rsidP="00015456">
      <w:pPr>
        <w:ind w:firstLine="426"/>
        <w:jc w:val="both"/>
      </w:pPr>
    </w:p>
    <w:p w:rsidR="00015456" w:rsidRPr="000E7C4B" w:rsidRDefault="00015456" w:rsidP="00015456">
      <w:pPr>
        <w:numPr>
          <w:ilvl w:val="0"/>
          <w:numId w:val="2"/>
        </w:numPr>
        <w:tabs>
          <w:tab w:val="num" w:pos="851"/>
        </w:tabs>
        <w:ind w:left="851" w:hanging="425"/>
        <w:jc w:val="both"/>
      </w:pPr>
      <w:r w:rsidRPr="000E7C4B">
        <w:t>текст доклада с указанием УДК (</w:t>
      </w:r>
      <w:r w:rsidRPr="000E7C4B">
        <w:rPr>
          <w:b/>
        </w:rPr>
        <w:t>3-5</w:t>
      </w:r>
      <w:r w:rsidRPr="000E7C4B">
        <w:t xml:space="preserve"> </w:t>
      </w:r>
      <w:r w:rsidRPr="000E7C4B">
        <w:rPr>
          <w:b/>
        </w:rPr>
        <w:t>полных страниц машинописного текста</w:t>
      </w:r>
      <w:r w:rsidRPr="000E7C4B">
        <w:t xml:space="preserve">, </w:t>
      </w:r>
      <w:r w:rsidRPr="000E7C4B">
        <w:rPr>
          <w:b/>
        </w:rPr>
        <w:t>с учетом рисунков, таблиц</w:t>
      </w:r>
      <w:r w:rsidRPr="000E7C4B">
        <w:t>);</w:t>
      </w:r>
    </w:p>
    <w:p w:rsidR="00015456" w:rsidRPr="000E7C4B" w:rsidRDefault="00015456" w:rsidP="00015456">
      <w:pPr>
        <w:pStyle w:val="a7"/>
        <w:numPr>
          <w:ilvl w:val="0"/>
          <w:numId w:val="2"/>
        </w:numPr>
        <w:ind w:hanging="114"/>
        <w:jc w:val="both"/>
        <w:rPr>
          <w:sz w:val="24"/>
          <w:szCs w:val="24"/>
        </w:rPr>
      </w:pPr>
      <w:r w:rsidRPr="000E7C4B">
        <w:rPr>
          <w:sz w:val="24"/>
          <w:szCs w:val="24"/>
        </w:rPr>
        <w:t xml:space="preserve">   экспертное заключение (в формате </w:t>
      </w:r>
      <w:r w:rsidRPr="000E7C4B">
        <w:rPr>
          <w:sz w:val="24"/>
          <w:szCs w:val="24"/>
          <w:lang w:val="en-US"/>
        </w:rPr>
        <w:t>PDF</w:t>
      </w:r>
      <w:r w:rsidRPr="000E7C4B">
        <w:rPr>
          <w:sz w:val="24"/>
          <w:szCs w:val="24"/>
        </w:rPr>
        <w:t>);</w:t>
      </w:r>
    </w:p>
    <w:p w:rsidR="00015456" w:rsidRPr="000E7C4B" w:rsidRDefault="00015456" w:rsidP="00015456">
      <w:pPr>
        <w:numPr>
          <w:ilvl w:val="0"/>
          <w:numId w:val="2"/>
        </w:numPr>
        <w:tabs>
          <w:tab w:val="num" w:pos="851"/>
        </w:tabs>
        <w:ind w:left="851" w:hanging="425"/>
        <w:jc w:val="both"/>
      </w:pPr>
      <w:r w:rsidRPr="000E7C4B">
        <w:t>заявку на участие в конференции;</w:t>
      </w:r>
    </w:p>
    <w:p w:rsidR="00015456" w:rsidRPr="000E7C4B" w:rsidRDefault="00015456" w:rsidP="00015456">
      <w:pPr>
        <w:numPr>
          <w:ilvl w:val="0"/>
          <w:numId w:val="2"/>
        </w:numPr>
        <w:tabs>
          <w:tab w:val="num" w:pos="851"/>
        </w:tabs>
        <w:ind w:left="851" w:hanging="425"/>
        <w:jc w:val="both"/>
      </w:pPr>
      <w:r w:rsidRPr="000E7C4B">
        <w:t>два экземпляра распечатанного текста;</w:t>
      </w:r>
    </w:p>
    <w:p w:rsidR="00015456" w:rsidRDefault="00015456" w:rsidP="00015456">
      <w:pPr>
        <w:numPr>
          <w:ilvl w:val="0"/>
          <w:numId w:val="2"/>
        </w:numPr>
        <w:tabs>
          <w:tab w:val="num" w:pos="851"/>
        </w:tabs>
        <w:ind w:left="851" w:hanging="425"/>
        <w:jc w:val="both"/>
      </w:pPr>
      <w:r w:rsidRPr="000E7C4B">
        <w:t>э</w:t>
      </w:r>
      <w:r w:rsidR="006521B3">
        <w:t>кспертное заключение (оригинал)</w:t>
      </w:r>
    </w:p>
    <w:p w:rsidR="006521B3" w:rsidRPr="000E7C4B" w:rsidRDefault="006521B3" w:rsidP="00015456">
      <w:pPr>
        <w:numPr>
          <w:ilvl w:val="0"/>
          <w:numId w:val="2"/>
        </w:numPr>
        <w:tabs>
          <w:tab w:val="num" w:pos="851"/>
        </w:tabs>
        <w:ind w:left="851" w:hanging="425"/>
        <w:jc w:val="both"/>
      </w:pPr>
      <w:r>
        <w:t>обязательна</w:t>
      </w:r>
      <w:r w:rsidR="007C61E2">
        <w:t>я</w:t>
      </w:r>
      <w:r>
        <w:t xml:space="preserve"> регистрация участника на платформе</w:t>
      </w:r>
      <w:r w:rsidRPr="006521B3">
        <w:t xml:space="preserve"> </w:t>
      </w:r>
      <w:r>
        <w:rPr>
          <w:lang w:val="en-US"/>
        </w:rPr>
        <w:t>Leader</w:t>
      </w:r>
      <w:r w:rsidRPr="006521B3">
        <w:t>-</w:t>
      </w:r>
      <w:r>
        <w:rPr>
          <w:lang w:val="en-US"/>
        </w:rPr>
        <w:t>Id</w:t>
      </w:r>
      <w:r w:rsidRPr="006521B3">
        <w:t>.</w:t>
      </w:r>
    </w:p>
    <w:p w:rsidR="00015456" w:rsidRPr="000E7C4B" w:rsidRDefault="00015456"/>
    <w:p w:rsidR="00047964" w:rsidRDefault="00047964" w:rsidP="00015456">
      <w:pPr>
        <w:jc w:val="center"/>
        <w:rPr>
          <w:b/>
        </w:rPr>
      </w:pPr>
    </w:p>
    <w:p w:rsidR="00015456" w:rsidRPr="000E7C4B" w:rsidRDefault="00015456" w:rsidP="00015456">
      <w:pPr>
        <w:jc w:val="center"/>
        <w:rPr>
          <w:b/>
        </w:rPr>
      </w:pPr>
      <w:r w:rsidRPr="000E7C4B">
        <w:rPr>
          <w:b/>
        </w:rPr>
        <w:t xml:space="preserve">ТРЕБОВАНИЯ </w:t>
      </w:r>
    </w:p>
    <w:p w:rsidR="00015456" w:rsidRPr="000E7C4B" w:rsidRDefault="00015456" w:rsidP="00015456">
      <w:pPr>
        <w:jc w:val="center"/>
      </w:pPr>
      <w:r w:rsidRPr="000E7C4B">
        <w:t xml:space="preserve">к оформлению материалов для издания в сборнике </w:t>
      </w:r>
    </w:p>
    <w:p w:rsidR="00015456" w:rsidRPr="000E7C4B" w:rsidRDefault="00015456" w:rsidP="00015456">
      <w:pPr>
        <w:jc w:val="center"/>
      </w:pPr>
      <w:r w:rsidRPr="000E7C4B">
        <w:t>НПК «Технико-экономические проблемы развития регионов»</w:t>
      </w:r>
    </w:p>
    <w:p w:rsidR="00015456" w:rsidRPr="000E7C4B" w:rsidRDefault="00015456" w:rsidP="00015456">
      <w:pPr>
        <w:jc w:val="center"/>
      </w:pPr>
    </w:p>
    <w:p w:rsidR="00015456" w:rsidRPr="000E7C4B" w:rsidRDefault="00015456" w:rsidP="00015456">
      <w:pPr>
        <w:numPr>
          <w:ilvl w:val="0"/>
          <w:numId w:val="3"/>
        </w:numPr>
        <w:tabs>
          <w:tab w:val="left" w:pos="993"/>
        </w:tabs>
        <w:ind w:left="0" w:firstLine="709"/>
      </w:pPr>
      <w:r w:rsidRPr="000E7C4B">
        <w:t xml:space="preserve">14 шрифт </w:t>
      </w:r>
      <w:proofErr w:type="spellStart"/>
      <w:r w:rsidRPr="000E7C4B">
        <w:t>Times</w:t>
      </w:r>
      <w:proofErr w:type="spellEnd"/>
      <w:r w:rsidRPr="000E7C4B">
        <w:t xml:space="preserve"> </w:t>
      </w:r>
      <w:proofErr w:type="spellStart"/>
      <w:r w:rsidRPr="000E7C4B">
        <w:t>New</w:t>
      </w:r>
      <w:proofErr w:type="spellEnd"/>
      <w:r w:rsidRPr="000E7C4B">
        <w:t xml:space="preserve"> </w:t>
      </w:r>
      <w:proofErr w:type="spellStart"/>
      <w:r w:rsidRPr="000E7C4B">
        <w:t>Roman</w:t>
      </w:r>
      <w:proofErr w:type="spellEnd"/>
      <w:r w:rsidRPr="000E7C4B">
        <w:t xml:space="preserve">. </w:t>
      </w:r>
    </w:p>
    <w:p w:rsidR="00015456" w:rsidRPr="000E7C4B" w:rsidRDefault="00015456" w:rsidP="00015456">
      <w:pPr>
        <w:numPr>
          <w:ilvl w:val="0"/>
          <w:numId w:val="3"/>
        </w:numPr>
        <w:tabs>
          <w:tab w:val="left" w:pos="993"/>
        </w:tabs>
        <w:ind w:left="0" w:firstLine="709"/>
      </w:pPr>
      <w:r w:rsidRPr="000E7C4B">
        <w:t>Интервал между строк – одинарный</w:t>
      </w:r>
      <w:r w:rsidR="00047964">
        <w:t>,</w:t>
      </w:r>
      <w:r w:rsidR="00202716">
        <w:t xml:space="preserve"> с автоматическим  переносом</w:t>
      </w:r>
      <w:r w:rsidRPr="000E7C4B">
        <w:t>.</w:t>
      </w:r>
    </w:p>
    <w:p w:rsidR="00015456" w:rsidRPr="000E7C4B" w:rsidRDefault="00015456" w:rsidP="00015456">
      <w:pPr>
        <w:numPr>
          <w:ilvl w:val="0"/>
          <w:numId w:val="3"/>
        </w:numPr>
        <w:tabs>
          <w:tab w:val="left" w:pos="993"/>
        </w:tabs>
        <w:ind w:left="0" w:firstLine="709"/>
      </w:pPr>
      <w:r w:rsidRPr="000E7C4B">
        <w:t xml:space="preserve">Поля </w:t>
      </w:r>
      <w:r w:rsidR="00202716">
        <w:t xml:space="preserve">верхнее – 2,5 см; левое, правое, нижнее – 2,5 </w:t>
      </w:r>
      <w:proofErr w:type="gramStart"/>
      <w:r w:rsidR="00202716">
        <w:t>см.</w:t>
      </w:r>
      <w:r w:rsidRPr="000E7C4B">
        <w:t>.</w:t>
      </w:r>
      <w:proofErr w:type="gramEnd"/>
    </w:p>
    <w:p w:rsidR="00015456" w:rsidRPr="000E7C4B" w:rsidRDefault="00015456" w:rsidP="00015456">
      <w:pPr>
        <w:numPr>
          <w:ilvl w:val="0"/>
          <w:numId w:val="3"/>
        </w:numPr>
        <w:tabs>
          <w:tab w:val="left" w:pos="993"/>
        </w:tabs>
        <w:ind w:left="0" w:firstLine="709"/>
      </w:pPr>
      <w:r w:rsidRPr="000E7C4B">
        <w:t xml:space="preserve">Абзацный отступ – 1,25. </w:t>
      </w:r>
    </w:p>
    <w:p w:rsidR="00015456" w:rsidRPr="000E7C4B" w:rsidRDefault="00015456" w:rsidP="00015456">
      <w:pPr>
        <w:numPr>
          <w:ilvl w:val="0"/>
          <w:numId w:val="3"/>
        </w:numPr>
        <w:tabs>
          <w:tab w:val="left" w:pos="993"/>
        </w:tabs>
        <w:ind w:left="0" w:firstLine="709"/>
      </w:pPr>
      <w:r w:rsidRPr="000E7C4B">
        <w:t xml:space="preserve">Формат </w:t>
      </w:r>
      <w:r w:rsidR="007C61E2">
        <w:t>страницы</w:t>
      </w:r>
      <w:r w:rsidRPr="000E7C4B">
        <w:t xml:space="preserve"> – А4.</w:t>
      </w:r>
    </w:p>
    <w:p w:rsidR="007C61E2" w:rsidRPr="000E7C4B" w:rsidRDefault="007C61E2" w:rsidP="007C61E2">
      <w:pPr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Нумерация страниц – внизу по центру. Это требование распространяется на все элементы статьи (текст, элементы рисунков, формулы, таблицы). Рисунки должны иметь подрисуночную надпись (размер шрифта – 12 </w:t>
      </w:r>
      <w:proofErr w:type="spellStart"/>
      <w:r>
        <w:t>тп</w:t>
      </w:r>
      <w:proofErr w:type="spellEnd"/>
      <w:r>
        <w:t xml:space="preserve">., жирно). Формулы выносятся в отдельную строку и набираются при помощи встроенного редактора </w:t>
      </w:r>
      <w:r>
        <w:rPr>
          <w:b/>
          <w:lang w:val="en-US"/>
        </w:rPr>
        <w:t>Equation</w:t>
      </w:r>
      <w:r>
        <w:rPr>
          <w:b/>
        </w:rPr>
        <w:t xml:space="preserve"> 3.0</w:t>
      </w:r>
      <w:r>
        <w:t>) Номера ссылок на литературу указываются в квадратных скобках. Все страницы статьи должны быть полностью заполнены.</w:t>
      </w:r>
    </w:p>
    <w:p w:rsidR="0001625C" w:rsidRPr="000E7C4B" w:rsidRDefault="0001625C" w:rsidP="0001625C">
      <w:pPr>
        <w:tabs>
          <w:tab w:val="left" w:pos="993"/>
        </w:tabs>
        <w:jc w:val="both"/>
        <w:rPr>
          <w:b/>
        </w:rPr>
      </w:pPr>
      <w:bookmarkStart w:id="0" w:name="_GoBack"/>
      <w:bookmarkEnd w:id="0"/>
      <w:r w:rsidRPr="000E7C4B">
        <w:rPr>
          <w:b/>
        </w:rPr>
        <w:lastRenderedPageBreak/>
        <w:t>Пример:</w:t>
      </w:r>
    </w:p>
    <w:p w:rsidR="0001625C" w:rsidRPr="000E7C4B" w:rsidRDefault="0001625C" w:rsidP="0001625C">
      <w:pPr>
        <w:tabs>
          <w:tab w:val="left" w:pos="993"/>
        </w:tabs>
        <w:jc w:val="both"/>
      </w:pPr>
    </w:p>
    <w:p w:rsidR="0001625C" w:rsidRPr="008148E6" w:rsidRDefault="0001625C" w:rsidP="0001625C">
      <w:pPr>
        <w:pStyle w:val="a8"/>
        <w:spacing w:before="0" w:beforeAutospacing="0" w:after="0" w:afterAutospacing="0"/>
        <w:ind w:firstLine="0"/>
        <w:outlineLvl w:val="3"/>
        <w:rPr>
          <w:sz w:val="28"/>
          <w:szCs w:val="28"/>
        </w:rPr>
      </w:pPr>
      <w:r w:rsidRPr="008148E6">
        <w:rPr>
          <w:sz w:val="28"/>
          <w:szCs w:val="28"/>
        </w:rPr>
        <w:t>УДК …</w:t>
      </w:r>
    </w:p>
    <w:p w:rsidR="0001625C" w:rsidRPr="008148E6" w:rsidRDefault="0001625C" w:rsidP="0001625C">
      <w:pPr>
        <w:jc w:val="center"/>
        <w:rPr>
          <w:b/>
          <w:sz w:val="28"/>
          <w:szCs w:val="28"/>
        </w:rPr>
      </w:pPr>
      <w:r w:rsidRPr="008148E6">
        <w:rPr>
          <w:b/>
          <w:sz w:val="28"/>
          <w:szCs w:val="28"/>
        </w:rPr>
        <w:t>НАЗВАНИЕ СТАТЬИ</w:t>
      </w:r>
    </w:p>
    <w:p w:rsidR="0001625C" w:rsidRPr="000E7C4B" w:rsidRDefault="0001625C" w:rsidP="0001625C">
      <w:pPr>
        <w:jc w:val="center"/>
        <w:rPr>
          <w:b/>
        </w:rPr>
      </w:pPr>
    </w:p>
    <w:p w:rsidR="0001625C" w:rsidRPr="008148E6" w:rsidRDefault="0001625C" w:rsidP="0001625C">
      <w:pPr>
        <w:jc w:val="center"/>
        <w:rPr>
          <w:sz w:val="28"/>
          <w:szCs w:val="28"/>
        </w:rPr>
      </w:pPr>
      <w:r w:rsidRPr="008148E6">
        <w:rPr>
          <w:sz w:val="28"/>
          <w:szCs w:val="28"/>
        </w:rPr>
        <w:t>Иванов И.И.</w:t>
      </w:r>
      <w:r w:rsidRPr="008148E6">
        <w:rPr>
          <w:sz w:val="28"/>
          <w:szCs w:val="28"/>
          <w:vertAlign w:val="superscript"/>
        </w:rPr>
        <w:t>1</w:t>
      </w:r>
      <w:r w:rsidRPr="008148E6">
        <w:rPr>
          <w:sz w:val="28"/>
          <w:szCs w:val="28"/>
        </w:rPr>
        <w:t>, Петров П.П.</w:t>
      </w:r>
      <w:r w:rsidRPr="008148E6">
        <w:rPr>
          <w:sz w:val="28"/>
          <w:szCs w:val="28"/>
          <w:vertAlign w:val="superscript"/>
        </w:rPr>
        <w:t>2</w:t>
      </w:r>
    </w:p>
    <w:p w:rsidR="0001625C" w:rsidRPr="008148E6" w:rsidRDefault="0001625C" w:rsidP="0001625C">
      <w:pPr>
        <w:jc w:val="center"/>
        <w:rPr>
          <w:b/>
          <w:i/>
          <w:sz w:val="26"/>
          <w:szCs w:val="26"/>
        </w:rPr>
      </w:pPr>
      <w:r w:rsidRPr="000E7C4B">
        <w:rPr>
          <w:bCs/>
        </w:rPr>
        <w:t xml:space="preserve"> </w:t>
      </w:r>
      <w:r w:rsidRPr="008148E6">
        <w:rPr>
          <w:b/>
          <w:i/>
          <w:sz w:val="26"/>
          <w:szCs w:val="26"/>
        </w:rPr>
        <w:t>Иркутский национальный исследовательский технический университет</w:t>
      </w:r>
    </w:p>
    <w:p w:rsidR="0001625C" w:rsidRPr="000E7C4B" w:rsidRDefault="0001625C" w:rsidP="0001625C">
      <w:pPr>
        <w:jc w:val="center"/>
      </w:pPr>
    </w:p>
    <w:p w:rsidR="0001625C" w:rsidRPr="008148E6" w:rsidRDefault="0001625C" w:rsidP="0001625C">
      <w:pPr>
        <w:ind w:firstLine="743"/>
        <w:jc w:val="both"/>
        <w:rPr>
          <w:sz w:val="28"/>
          <w:szCs w:val="28"/>
        </w:rPr>
      </w:pPr>
      <w:r w:rsidRPr="008148E6">
        <w:rPr>
          <w:sz w:val="28"/>
          <w:szCs w:val="28"/>
        </w:rPr>
        <w:t>Основной текст …………..……………………………………..</w:t>
      </w:r>
    </w:p>
    <w:p w:rsidR="0001625C" w:rsidRPr="00A70FDF" w:rsidRDefault="0001625C" w:rsidP="0001625C">
      <w:pPr>
        <w:ind w:firstLine="142"/>
        <w:jc w:val="both"/>
        <w:rPr>
          <w:sz w:val="28"/>
          <w:szCs w:val="28"/>
        </w:rPr>
      </w:pPr>
    </w:p>
    <w:p w:rsidR="008148E6" w:rsidRPr="008148E6" w:rsidRDefault="008148E6" w:rsidP="008148E6">
      <w:pPr>
        <w:jc w:val="center"/>
        <w:rPr>
          <w:sz w:val="28"/>
          <w:lang w:val="en-US" w:eastAsia="en-US"/>
        </w:rPr>
      </w:pPr>
      <w:r w:rsidRPr="008148E6">
        <w:rPr>
          <w:noProof/>
          <w:sz w:val="28"/>
        </w:rPr>
        <w:drawing>
          <wp:inline distT="0" distB="0" distL="0" distR="0" wp14:anchorId="4E3C9605" wp14:editId="05542D63">
            <wp:extent cx="1735811" cy="1420868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083" cy="14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E6" w:rsidRPr="008148E6" w:rsidRDefault="008148E6" w:rsidP="008148E6">
      <w:pPr>
        <w:spacing w:before="80"/>
        <w:jc w:val="center"/>
        <w:rPr>
          <w:b/>
          <w:lang w:eastAsia="en-US"/>
        </w:rPr>
      </w:pPr>
      <w:r w:rsidRPr="008148E6">
        <w:rPr>
          <w:b/>
          <w:lang w:eastAsia="en-US"/>
        </w:rPr>
        <w:t xml:space="preserve">Рисунок 1 – Внутреннее строение элемента </w:t>
      </w:r>
      <w:proofErr w:type="spellStart"/>
      <w:r w:rsidRPr="008148E6">
        <w:rPr>
          <w:b/>
          <w:lang w:eastAsia="en-US"/>
        </w:rPr>
        <w:t>Пельтье</w:t>
      </w:r>
      <w:proofErr w:type="spellEnd"/>
    </w:p>
    <w:p w:rsidR="008148E6" w:rsidRPr="00A70FDF" w:rsidRDefault="008148E6" w:rsidP="008148E6">
      <w:pPr>
        <w:jc w:val="center"/>
        <w:rPr>
          <w:sz w:val="28"/>
          <w:szCs w:val="28"/>
        </w:rPr>
      </w:pPr>
    </w:p>
    <w:p w:rsidR="008148E6" w:rsidRPr="008148E6" w:rsidRDefault="008148E6" w:rsidP="008148E6">
      <w:pPr>
        <w:ind w:firstLine="709"/>
        <w:jc w:val="both"/>
        <w:rPr>
          <w:sz w:val="28"/>
          <w:szCs w:val="22"/>
          <w:lang w:eastAsia="en-US"/>
        </w:rPr>
      </w:pPr>
    </w:p>
    <w:p w:rsidR="008148E6" w:rsidRPr="008148E6" w:rsidRDefault="008148E6" w:rsidP="008148E6">
      <w:pPr>
        <w:spacing w:after="80"/>
        <w:jc w:val="right"/>
        <w:rPr>
          <w:b/>
          <w:i/>
          <w:sz w:val="28"/>
          <w:lang w:eastAsia="en-US"/>
        </w:rPr>
      </w:pPr>
      <w:r w:rsidRPr="008148E6">
        <w:rPr>
          <w:b/>
          <w:i/>
          <w:sz w:val="28"/>
          <w:lang w:eastAsia="en-US"/>
        </w:rPr>
        <w:t xml:space="preserve">Таблица 1 </w:t>
      </w:r>
    </w:p>
    <w:p w:rsidR="008148E6" w:rsidRPr="008148E6" w:rsidRDefault="008148E6" w:rsidP="008A469C">
      <w:pPr>
        <w:ind w:firstLine="142"/>
        <w:jc w:val="center"/>
        <w:rPr>
          <w:sz w:val="28"/>
          <w:szCs w:val="28"/>
        </w:rPr>
      </w:pPr>
      <w:r w:rsidRPr="008148E6">
        <w:rPr>
          <w:b/>
          <w:sz w:val="28"/>
          <w:lang w:eastAsia="en-US"/>
        </w:rPr>
        <w:t xml:space="preserve">Технические характеристики элемента </w:t>
      </w:r>
      <w:proofErr w:type="spellStart"/>
      <w:r w:rsidRPr="008148E6">
        <w:rPr>
          <w:b/>
          <w:sz w:val="28"/>
          <w:lang w:eastAsia="en-US"/>
        </w:rPr>
        <w:t>Пельтье</w:t>
      </w:r>
      <w:proofErr w:type="spellEnd"/>
      <w:r w:rsidRPr="008148E6">
        <w:rPr>
          <w:b/>
          <w:sz w:val="28"/>
          <w:lang w:eastAsia="en-US"/>
        </w:rPr>
        <w:t xml:space="preserve"> TEC1-12712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29"/>
        <w:gridCol w:w="3543"/>
      </w:tblGrid>
      <w:tr w:rsidR="008148E6" w:rsidTr="00D25B48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6" w:rsidRDefault="008148E6" w:rsidP="00D25B4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Параметр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6" w:rsidRDefault="008148E6" w:rsidP="00D25B4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Значение</w:t>
            </w:r>
          </w:p>
        </w:tc>
      </w:tr>
      <w:tr w:rsidR="008148E6" w:rsidTr="00D25B48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6" w:rsidRDefault="008148E6" w:rsidP="00D25B4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Максимальная разность температур нагреваемой и охлаждаемой сторон, 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E6" w:rsidRDefault="008148E6" w:rsidP="00D25B4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67 и выше</w:t>
            </w:r>
          </w:p>
        </w:tc>
      </w:tr>
      <w:tr w:rsidR="008148E6" w:rsidTr="00D25B48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6" w:rsidRDefault="008148E6" w:rsidP="00D25B4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Максимальное напряжение, 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E6" w:rsidRDefault="008148E6" w:rsidP="00D25B4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15,5</w:t>
            </w:r>
          </w:p>
        </w:tc>
      </w:tr>
    </w:tbl>
    <w:p w:rsidR="008148E6" w:rsidRDefault="008148E6" w:rsidP="0001625C">
      <w:pPr>
        <w:ind w:firstLine="142"/>
        <w:jc w:val="both"/>
        <w:rPr>
          <w:sz w:val="28"/>
          <w:szCs w:val="28"/>
          <w:lang w:val="en-US"/>
        </w:rPr>
      </w:pPr>
    </w:p>
    <w:p w:rsidR="008A469C" w:rsidRPr="008A469C" w:rsidRDefault="00A70FDF" w:rsidP="008A469C">
      <w:pPr>
        <w:jc w:val="both"/>
        <w:rPr>
          <w:i/>
          <w:sz w:val="28"/>
          <w:szCs w:val="22"/>
          <w:lang w:eastAsia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Cambria Math"/>
                  <w:i/>
                  <w:iCs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2"/>
                  <w:lang w:val="en-US" w:eastAsia="en-US"/>
                </w:rPr>
                <m:t>S</m:t>
              </m:r>
            </m:e>
            <m:sub>
              <m:r>
                <w:rPr>
                  <w:rFonts w:ascii="Cambria Math" w:eastAsia="Calibri" w:hAnsi="Cambria Math"/>
                  <w:sz w:val="28"/>
                  <w:szCs w:val="22"/>
                  <w:lang w:val="en-US" w:eastAsia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2"/>
              <w:lang w:val="en-US"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2"/>
                  <w:lang w:eastAsia="en-US"/>
                </w:rPr>
                <m:t>0,0018×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iCs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2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2"/>
                      <w:lang w:eastAsia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2"/>
                  <w:lang w:eastAsia="en-US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 xml:space="preserve">, </m:t>
          </m:r>
        </m:oMath>
      </m:oMathPara>
    </w:p>
    <w:p w:rsidR="008A469C" w:rsidRPr="008A469C" w:rsidRDefault="008A469C" w:rsidP="008A469C">
      <w:pPr>
        <w:jc w:val="both"/>
        <w:rPr>
          <w:sz w:val="28"/>
          <w:szCs w:val="22"/>
          <w:lang w:eastAsia="en-US"/>
        </w:rPr>
      </w:pPr>
      <w:r w:rsidRPr="008A469C">
        <w:rPr>
          <w:sz w:val="28"/>
          <w:szCs w:val="22"/>
          <w:lang w:eastAsia="en-US"/>
        </w:rPr>
        <w:t xml:space="preserve">где 5 – количество сторон, на которых расположены </w:t>
      </w:r>
      <w:proofErr w:type="gramStart"/>
      <w:r w:rsidRPr="008A469C">
        <w:rPr>
          <w:sz w:val="28"/>
          <w:szCs w:val="22"/>
          <w:lang w:eastAsia="en-US"/>
        </w:rPr>
        <w:t xml:space="preserve">элементы; </w:t>
      </w:r>
      <m:oMath>
        <m:sSub>
          <m:sSubPr>
            <m:ctrlPr>
              <w:rPr>
                <w:rFonts w:ascii="Cambria Math" w:eastAsia="Calibri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2"/>
                <w:lang w:eastAsia="en-US"/>
              </w:rPr>
              <m:t>n</m:t>
            </m:r>
          </m:e>
          <m:sub>
            <m:r>
              <w:rPr>
                <w:rFonts w:ascii="Cambria Math" w:eastAsia="Calibri" w:hAnsi="Cambria Math"/>
                <w:sz w:val="28"/>
                <w:szCs w:val="22"/>
                <w:lang w:eastAsia="en-US"/>
              </w:rPr>
              <m:t>i</m:t>
            </m:r>
          </m:sub>
        </m:sSub>
      </m:oMath>
      <w:r w:rsidRPr="008A469C">
        <w:rPr>
          <w:sz w:val="28"/>
          <w:szCs w:val="22"/>
          <w:lang w:eastAsia="en-US"/>
        </w:rPr>
        <w:t xml:space="preserve"> –</w:t>
      </w:r>
      <w:proofErr w:type="gramEnd"/>
      <w:r w:rsidRPr="008A469C">
        <w:rPr>
          <w:sz w:val="28"/>
          <w:szCs w:val="22"/>
          <w:lang w:eastAsia="en-US"/>
        </w:rPr>
        <w:t xml:space="preserve"> количество элементов необходимых для определенной нагрузки из табл.3; 0,0018  – площадь одного элемента, м</w:t>
      </w:r>
      <w:r w:rsidRPr="008A469C">
        <w:rPr>
          <w:sz w:val="28"/>
          <w:szCs w:val="22"/>
          <w:vertAlign w:val="superscript"/>
          <w:lang w:eastAsia="en-US"/>
        </w:rPr>
        <w:t>2</w:t>
      </w:r>
      <w:r w:rsidRPr="008A469C">
        <w:rPr>
          <w:sz w:val="28"/>
          <w:szCs w:val="22"/>
          <w:lang w:eastAsia="en-US"/>
        </w:rPr>
        <w:t>.</w:t>
      </w:r>
    </w:p>
    <w:p w:rsidR="008A469C" w:rsidRPr="008A469C" w:rsidRDefault="008A469C" w:rsidP="008A469C">
      <w:pPr>
        <w:jc w:val="center"/>
        <w:rPr>
          <w:b/>
          <w:i/>
          <w:sz w:val="28"/>
          <w:lang w:eastAsia="en-US"/>
        </w:rPr>
      </w:pPr>
    </w:p>
    <w:p w:rsidR="0001625C" w:rsidRPr="008148E6" w:rsidRDefault="0001625C" w:rsidP="0001625C">
      <w:pPr>
        <w:jc w:val="center"/>
        <w:rPr>
          <w:b/>
          <w:sz w:val="28"/>
          <w:szCs w:val="28"/>
        </w:rPr>
      </w:pPr>
      <w:r w:rsidRPr="008148E6">
        <w:rPr>
          <w:b/>
          <w:sz w:val="28"/>
          <w:szCs w:val="28"/>
        </w:rPr>
        <w:t>Библиографический список</w:t>
      </w:r>
    </w:p>
    <w:p w:rsidR="0001625C" w:rsidRPr="008A469C" w:rsidRDefault="008A469C" w:rsidP="008A469C">
      <w:pPr>
        <w:pStyle w:val="ab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8A469C">
        <w:rPr>
          <w:sz w:val="28"/>
          <w:szCs w:val="28"/>
        </w:rPr>
        <w:t>Лезнов</w:t>
      </w:r>
      <w:proofErr w:type="spellEnd"/>
      <w:r w:rsidRPr="008A469C">
        <w:rPr>
          <w:sz w:val="28"/>
          <w:szCs w:val="28"/>
        </w:rPr>
        <w:t xml:space="preserve"> Б.С. Технологические основы использования регулируемого электропривода в насосных установках // Водоочистка. Водоподготовка. Водоснабжение. № 5(53). 2012. С. 24-25.</w:t>
      </w:r>
    </w:p>
    <w:p w:rsidR="008A469C" w:rsidRDefault="008A469C" w:rsidP="008A469C">
      <w:pPr>
        <w:pStyle w:val="ab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8A469C">
        <w:rPr>
          <w:sz w:val="28"/>
          <w:szCs w:val="28"/>
        </w:rPr>
        <w:t>Закарюкин</w:t>
      </w:r>
      <w:proofErr w:type="spellEnd"/>
      <w:r w:rsidRPr="008A469C">
        <w:rPr>
          <w:sz w:val="28"/>
          <w:szCs w:val="28"/>
        </w:rPr>
        <w:t xml:space="preserve"> В.П., Крюков А.В., Черепанов А.В. Интеллектуальные технологии управления качеством электроэнергии. Иркутск: Издательство </w:t>
      </w:r>
      <w:proofErr w:type="spellStart"/>
      <w:r w:rsidRPr="008A469C">
        <w:rPr>
          <w:sz w:val="28"/>
          <w:szCs w:val="28"/>
        </w:rPr>
        <w:t>ИрНИТУ</w:t>
      </w:r>
      <w:proofErr w:type="spellEnd"/>
      <w:r w:rsidRPr="008A469C">
        <w:rPr>
          <w:sz w:val="28"/>
          <w:szCs w:val="28"/>
        </w:rPr>
        <w:t>. 2015. 218 с.</w:t>
      </w:r>
    </w:p>
    <w:p w:rsidR="008A469C" w:rsidRPr="008A469C" w:rsidRDefault="008A469C" w:rsidP="008A469C">
      <w:pPr>
        <w:pStyle w:val="ab"/>
        <w:numPr>
          <w:ilvl w:val="0"/>
          <w:numId w:val="4"/>
        </w:numPr>
        <w:ind w:left="0" w:firstLine="0"/>
        <w:jc w:val="both"/>
        <w:rPr>
          <w:sz w:val="28"/>
          <w:szCs w:val="28"/>
          <w:u w:val="single"/>
          <w:lang w:val="en-US"/>
        </w:rPr>
      </w:pPr>
      <w:r w:rsidRPr="00242F3B">
        <w:rPr>
          <w:sz w:val="28"/>
          <w:szCs w:val="28"/>
        </w:rPr>
        <w:t>Преобразователи частоты VLT</w:t>
      </w:r>
      <w:r>
        <w:rPr>
          <w:sz w:val="28"/>
          <w:szCs w:val="28"/>
        </w:rPr>
        <w:t xml:space="preserve">. </w:t>
      </w:r>
      <w:r w:rsidRPr="000A5F9C">
        <w:rPr>
          <w:sz w:val="28"/>
          <w:szCs w:val="28"/>
        </w:rPr>
        <w:t xml:space="preserve">[Электронный ресурс]. </w:t>
      </w:r>
      <w:r w:rsidRPr="008A469C">
        <w:rPr>
          <w:sz w:val="28"/>
          <w:szCs w:val="28"/>
          <w:lang w:val="en-US"/>
        </w:rPr>
        <w:t xml:space="preserve">URL: </w:t>
      </w:r>
      <w:hyperlink r:id="rId7" w:history="1">
        <w:r w:rsidRPr="008A469C">
          <w:rPr>
            <w:sz w:val="28"/>
            <w:szCs w:val="28"/>
            <w:u w:val="single"/>
            <w:lang w:val="en-US"/>
          </w:rPr>
          <w:t xml:space="preserve">https://drives.ru/produkciya/ </w:t>
        </w:r>
        <w:proofErr w:type="spellStart"/>
        <w:r w:rsidRPr="008A469C">
          <w:rPr>
            <w:sz w:val="28"/>
            <w:szCs w:val="28"/>
            <w:u w:val="single"/>
            <w:lang w:val="en-US"/>
          </w:rPr>
          <w:t>preobrazovateli-chastoty-vlt</w:t>
        </w:r>
        <w:proofErr w:type="spellEnd"/>
        <w:r w:rsidRPr="008A469C">
          <w:rPr>
            <w:sz w:val="28"/>
            <w:szCs w:val="28"/>
            <w:u w:val="single"/>
            <w:lang w:val="en-US"/>
          </w:rPr>
          <w:t>/</w:t>
        </w:r>
      </w:hyperlink>
      <w:r w:rsidRPr="008A469C">
        <w:rPr>
          <w:sz w:val="28"/>
          <w:szCs w:val="28"/>
          <w:u w:val="single"/>
          <w:lang w:val="en-US"/>
        </w:rPr>
        <w:t xml:space="preserve"> (09.02.2020).</w:t>
      </w:r>
    </w:p>
    <w:p w:rsidR="0001625C" w:rsidRPr="000E7C4B" w:rsidRDefault="008A469C" w:rsidP="008A469C">
      <w:pPr>
        <w:rPr>
          <w:u w:val="single"/>
        </w:rPr>
      </w:pPr>
      <w:r>
        <w:rPr>
          <w:color w:val="FFFFFF" w:themeColor="background1"/>
          <w:u w:val="single"/>
        </w:rPr>
        <w:t>__</w:t>
      </w:r>
      <w:r w:rsidR="0001625C" w:rsidRPr="000E7C4B">
        <w:rPr>
          <w:color w:val="FFFFFF" w:themeColor="background1"/>
          <w:u w:val="single"/>
        </w:rPr>
        <w:t>.</w:t>
      </w:r>
      <w:r w:rsidR="0001625C" w:rsidRPr="000E7C4B">
        <w:rPr>
          <w:u w:val="single"/>
        </w:rPr>
        <w:t xml:space="preserve">    </w:t>
      </w:r>
    </w:p>
    <w:p w:rsidR="0001625C" w:rsidRPr="000E7C4B" w:rsidRDefault="0001625C" w:rsidP="0001625C">
      <w:pPr>
        <w:rPr>
          <w:vertAlign w:val="superscript"/>
        </w:rPr>
      </w:pPr>
      <w:r w:rsidRPr="000E7C4B">
        <w:rPr>
          <w:vertAlign w:val="superscript"/>
        </w:rPr>
        <w:t>1</w:t>
      </w:r>
      <w:r w:rsidRPr="000E7C4B">
        <w:t xml:space="preserve"> Иванов И.И., обучающийся, </w:t>
      </w:r>
      <w:proofErr w:type="spellStart"/>
      <w:r w:rsidRPr="000E7C4B">
        <w:t>гр</w:t>
      </w:r>
      <w:proofErr w:type="spellEnd"/>
      <w:r w:rsidRPr="000E7C4B">
        <w:t>….</w:t>
      </w:r>
    </w:p>
    <w:p w:rsidR="0001625C" w:rsidRPr="000E7C4B" w:rsidRDefault="0001625C" w:rsidP="0001625C">
      <w:pPr>
        <w:rPr>
          <w:vertAlign w:val="superscript"/>
        </w:rPr>
      </w:pPr>
      <w:r w:rsidRPr="000E7C4B">
        <w:rPr>
          <w:vertAlign w:val="superscript"/>
        </w:rPr>
        <w:t>2</w:t>
      </w:r>
      <w:r w:rsidRPr="000E7C4B">
        <w:t xml:space="preserve"> Петров П.П., доцент каф. …</w:t>
      </w:r>
    </w:p>
    <w:p w:rsidR="007C61E2" w:rsidRPr="008A469C" w:rsidRDefault="0001625C" w:rsidP="008A469C">
      <w:pPr>
        <w:ind w:right="-143"/>
      </w:pPr>
      <w:r w:rsidRPr="000E7C4B">
        <w:t>Экспертиза статьи выполн</w:t>
      </w:r>
      <w:r w:rsidR="008A469C">
        <w:t>ена __.__.20__ г., протокол №__</w:t>
      </w:r>
    </w:p>
    <w:sectPr w:rsidR="007C61E2" w:rsidRPr="008A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58BD"/>
    <w:multiLevelType w:val="hybridMultilevel"/>
    <w:tmpl w:val="D132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72ED"/>
    <w:multiLevelType w:val="hybridMultilevel"/>
    <w:tmpl w:val="FB325A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C65E4"/>
    <w:multiLevelType w:val="hybridMultilevel"/>
    <w:tmpl w:val="3440EE6A"/>
    <w:lvl w:ilvl="0" w:tplc="1B4231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530B8"/>
    <w:multiLevelType w:val="hybridMultilevel"/>
    <w:tmpl w:val="668C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0676A"/>
    <w:multiLevelType w:val="hybridMultilevel"/>
    <w:tmpl w:val="63400786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9B"/>
    <w:rsid w:val="00015456"/>
    <w:rsid w:val="0001625C"/>
    <w:rsid w:val="00047964"/>
    <w:rsid w:val="000E6709"/>
    <w:rsid w:val="000E7C4B"/>
    <w:rsid w:val="00202716"/>
    <w:rsid w:val="00252E9B"/>
    <w:rsid w:val="00335322"/>
    <w:rsid w:val="00347AA1"/>
    <w:rsid w:val="005F3204"/>
    <w:rsid w:val="006521B3"/>
    <w:rsid w:val="00677ED8"/>
    <w:rsid w:val="00685EAE"/>
    <w:rsid w:val="006A071D"/>
    <w:rsid w:val="007B1E64"/>
    <w:rsid w:val="007C61E2"/>
    <w:rsid w:val="008148E6"/>
    <w:rsid w:val="008A469C"/>
    <w:rsid w:val="009743CD"/>
    <w:rsid w:val="009B493F"/>
    <w:rsid w:val="00A70FDF"/>
    <w:rsid w:val="00CD1D76"/>
    <w:rsid w:val="00FA299E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A248-19F3-4536-91F7-54B6E5E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15456"/>
    <w:pPr>
      <w:keepNext/>
      <w:jc w:val="center"/>
      <w:outlineLvl w:val="6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9B"/>
    <w:rPr>
      <w:b/>
    </w:rPr>
  </w:style>
  <w:style w:type="character" w:customStyle="1" w:styleId="a4">
    <w:name w:val="Основной текст Знак"/>
    <w:basedOn w:val="a0"/>
    <w:link w:val="a3"/>
    <w:rsid w:val="00252E9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015456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customStyle="1" w:styleId="a7">
    <w:name w:val="Стиль"/>
    <w:rsid w:val="0001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015456"/>
    <w:pPr>
      <w:spacing w:before="100" w:beforeAutospacing="1" w:after="100" w:afterAutospacing="1"/>
      <w:ind w:firstLine="300"/>
    </w:pPr>
  </w:style>
  <w:style w:type="character" w:styleId="a9">
    <w:name w:val="Hyperlink"/>
    <w:basedOn w:val="a0"/>
    <w:uiPriority w:val="99"/>
    <w:unhideWhenUsed/>
    <w:rsid w:val="00CD1D7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1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469C"/>
    <w:pPr>
      <w:ind w:left="720"/>
      <w:contextualSpacing/>
    </w:pPr>
  </w:style>
  <w:style w:type="paragraph" w:customStyle="1" w:styleId="Style18">
    <w:name w:val="Style18"/>
    <w:basedOn w:val="a"/>
    <w:rsid w:val="008A469C"/>
    <w:pPr>
      <w:widowControl w:val="0"/>
      <w:autoSpaceDE w:val="0"/>
      <w:autoSpaceDN w:val="0"/>
      <w:adjustRightInd w:val="0"/>
      <w:spacing w:line="264" w:lineRule="exact"/>
      <w:ind w:hanging="42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s.ru/produkciya/%20preobrazovateli-chastoty-v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 Сергей Аркадьевич</dc:creator>
  <cp:lastModifiedBy>Пионкевич Владимир Андреевич</cp:lastModifiedBy>
  <cp:revision>10</cp:revision>
  <cp:lastPrinted>2019-09-27T03:10:00Z</cp:lastPrinted>
  <dcterms:created xsi:type="dcterms:W3CDTF">2022-11-02T04:04:00Z</dcterms:created>
  <dcterms:modified xsi:type="dcterms:W3CDTF">2022-11-09T02:44:00Z</dcterms:modified>
</cp:coreProperties>
</file>